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0DB0B0">
      <w:pPr>
        <w:tabs>
          <w:tab w:val="left" w:pos="8640"/>
        </w:tabs>
        <w:adjustRightInd w:val="0"/>
        <w:snapToGrid w:val="0"/>
        <w:spacing w:after="80" w:line="640" w:lineRule="exact"/>
        <w:jc w:val="center"/>
        <w:rPr>
          <w:rFonts w:ascii="方正小标宋简体" w:eastAsia="方正小标宋简体"/>
          <w:sz w:val="44"/>
          <w:szCs w:val="44"/>
          <w:lang w:val="en-US"/>
        </w:rPr>
      </w:pPr>
      <w:r>
        <w:rPr>
          <w:rFonts w:hint="eastAsia" w:ascii="方正小标宋简体" w:hAnsi="黑体" w:eastAsia="方正小标宋简体"/>
          <w:sz w:val="44"/>
          <w:szCs w:val="44"/>
        </w:rPr>
        <w:t>“揭榜挂帅”社会实践课题征集表</w:t>
      </w:r>
    </w:p>
    <w:p w14:paraId="4D404E57">
      <w:pPr>
        <w:tabs>
          <w:tab w:val="left" w:pos="8640"/>
        </w:tabs>
        <w:adjustRightInd w:val="0"/>
        <w:snapToGrid w:val="0"/>
        <w:spacing w:line="192" w:lineRule="auto"/>
        <w:rPr>
          <w:rFonts w:ascii="仿宋_GB2312" w:eastAsia="仿宋_GB2312"/>
          <w:bCs/>
          <w:spacing w:val="6"/>
          <w:sz w:val="32"/>
          <w:szCs w:val="32"/>
        </w:rPr>
      </w:pPr>
    </w:p>
    <w:p w14:paraId="370A49DB">
      <w:pPr>
        <w:tabs>
          <w:tab w:val="left" w:pos="8640"/>
        </w:tabs>
        <w:adjustRightInd w:val="0"/>
        <w:snapToGrid w:val="0"/>
        <w:spacing w:before="40" w:after="20"/>
        <w:rPr>
          <w:rFonts w:ascii="黑体" w:hAnsi="黑体" w:eastAsia="黑体" w:cs="黑体"/>
          <w:spacing w:val="6"/>
          <w:sz w:val="32"/>
          <w:szCs w:val="32"/>
        </w:rPr>
      </w:pPr>
      <w:r>
        <w:rPr>
          <w:rFonts w:hint="eastAsia" w:ascii="黑体" w:hAnsi="黑体" w:eastAsia="黑体" w:cs="黑体"/>
          <w:spacing w:val="6"/>
          <w:sz w:val="32"/>
          <w:szCs w:val="32"/>
        </w:rPr>
        <w:t>一、</w:t>
      </w:r>
      <w:r>
        <w:rPr>
          <w:rFonts w:hint="eastAsia" w:ascii="黑体" w:hAnsi="黑体" w:eastAsia="黑体" w:cs="黑体"/>
          <w:spacing w:val="6"/>
          <w:sz w:val="32"/>
          <w:szCs w:val="32"/>
          <w:lang w:val="en-US"/>
        </w:rPr>
        <w:t>出题方</w:t>
      </w:r>
      <w:r>
        <w:rPr>
          <w:rFonts w:hint="eastAsia" w:ascii="黑体" w:hAnsi="黑体" w:eastAsia="黑体" w:cs="黑体"/>
          <w:spacing w:val="6"/>
          <w:sz w:val="32"/>
          <w:szCs w:val="32"/>
        </w:rPr>
        <w:t>信息</w:t>
      </w:r>
    </w:p>
    <w:tbl>
      <w:tblPr>
        <w:tblStyle w:val="5"/>
        <w:tblW w:w="8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668"/>
        <w:gridCol w:w="3076"/>
        <w:gridCol w:w="1073"/>
        <w:gridCol w:w="2783"/>
      </w:tblGrid>
      <w:tr w14:paraId="69800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668" w:type="dxa"/>
            <w:shd w:val="clear" w:color="auto" w:fill="auto"/>
            <w:tcMar>
              <w:top w:w="60" w:type="dxa"/>
              <w:left w:w="95" w:type="dxa"/>
              <w:bottom w:w="60" w:type="dxa"/>
              <w:right w:w="95" w:type="dxa"/>
            </w:tcMar>
            <w:vAlign w:val="center"/>
          </w:tcPr>
          <w:p w14:paraId="20C01FC4">
            <w:pPr>
              <w:adjustRightInd w:val="0"/>
              <w:spacing w:after="12" w:line="230" w:lineRule="auto"/>
              <w:jc w:val="center"/>
              <w:rPr>
                <w:rFonts w:ascii="仿宋_GB2312" w:hAnsi="仿宋_GB2312" w:eastAsia="仿宋_GB2312" w:cs="仿宋_GB2312"/>
                <w:sz w:val="32"/>
                <w:szCs w:val="32"/>
                <w:lang w:val="en-US"/>
              </w:rPr>
            </w:pPr>
            <w:r>
              <w:rPr>
                <w:rFonts w:hint="eastAsia" w:ascii="仿宋_GB2312" w:hAnsi="宋体" w:eastAsia="仿宋_GB2312" w:cs="仿宋_GB2312"/>
                <w:b/>
                <w:sz w:val="32"/>
                <w:szCs w:val="32"/>
              </w:rPr>
              <w:t>单位</w:t>
            </w:r>
            <w:r>
              <w:rPr>
                <w:rFonts w:hint="eastAsia" w:ascii="仿宋_GB2312" w:hAnsi="宋体" w:eastAsia="仿宋_GB2312" w:cs="仿宋_GB2312"/>
                <w:b/>
                <w:sz w:val="32"/>
                <w:szCs w:val="32"/>
                <w:lang w:val="en-US"/>
              </w:rPr>
              <w:t>/教师</w:t>
            </w:r>
          </w:p>
        </w:tc>
        <w:tc>
          <w:tcPr>
            <w:tcW w:w="6932" w:type="dxa"/>
            <w:gridSpan w:val="3"/>
            <w:shd w:val="clear" w:color="auto" w:fill="auto"/>
            <w:tcMar>
              <w:top w:w="60" w:type="dxa"/>
              <w:left w:w="95" w:type="dxa"/>
              <w:bottom w:w="60" w:type="dxa"/>
              <w:right w:w="95" w:type="dxa"/>
            </w:tcMar>
            <w:vAlign w:val="center"/>
          </w:tcPr>
          <w:p w14:paraId="058F6771">
            <w:pPr>
              <w:spacing w:after="12" w:line="230" w:lineRule="auto"/>
              <w:jc w:val="center"/>
              <w:textAlignment w:val="center"/>
              <w:rPr>
                <w:rFonts w:ascii="仿宋_GB2312" w:hAnsi="仿宋_GB2312" w:eastAsia="仿宋_GB2312" w:cs="仿宋_GB2312"/>
                <w:color w:val="000000"/>
                <w:sz w:val="32"/>
                <w:szCs w:val="32"/>
                <w:lang w:val="en-US"/>
              </w:rPr>
            </w:pPr>
            <w:r>
              <w:rPr>
                <w:rFonts w:hint="eastAsia" w:ascii="仿宋_GB2312" w:hAnsi="宋体" w:eastAsia="仿宋_GB2312" w:cs="仿宋_GB2312"/>
                <w:bCs/>
                <w:spacing w:val="6"/>
                <w:sz w:val="32"/>
                <w:szCs w:val="32"/>
                <w:lang w:val="en-US"/>
              </w:rPr>
              <w:t>城市经济与公共管理学院 姜超</w:t>
            </w:r>
          </w:p>
        </w:tc>
      </w:tr>
      <w:tr w14:paraId="5579A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668" w:type="dxa"/>
            <w:shd w:val="clear" w:color="auto" w:fill="auto"/>
            <w:tcMar>
              <w:top w:w="60" w:type="dxa"/>
              <w:left w:w="95" w:type="dxa"/>
              <w:bottom w:w="60" w:type="dxa"/>
              <w:right w:w="95" w:type="dxa"/>
            </w:tcMar>
            <w:vAlign w:val="center"/>
          </w:tcPr>
          <w:p w14:paraId="6FA25093">
            <w:pPr>
              <w:adjustRightInd w:val="0"/>
              <w:spacing w:after="12" w:line="230" w:lineRule="auto"/>
              <w:jc w:val="center"/>
              <w:rPr>
                <w:rFonts w:ascii="仿宋_GB2312" w:hAnsi="仿宋_GB2312" w:eastAsia="仿宋_GB2312" w:cs="仿宋_GB2312"/>
                <w:sz w:val="32"/>
                <w:szCs w:val="32"/>
              </w:rPr>
            </w:pPr>
            <w:r>
              <w:rPr>
                <w:rFonts w:hint="eastAsia" w:ascii="仿宋_GB2312" w:hAnsi="宋体" w:eastAsia="仿宋_GB2312" w:cs="仿宋_GB2312"/>
                <w:b/>
                <w:sz w:val="32"/>
                <w:szCs w:val="32"/>
                <w:lang w:val="en-US"/>
              </w:rPr>
              <w:t>单位/项目</w:t>
            </w:r>
            <w:r>
              <w:rPr>
                <w:rFonts w:hint="eastAsia" w:ascii="仿宋_GB2312" w:hAnsi="宋体" w:eastAsia="仿宋_GB2312" w:cs="仿宋_GB2312"/>
                <w:b/>
                <w:sz w:val="32"/>
                <w:szCs w:val="32"/>
              </w:rPr>
              <w:t>简介</w:t>
            </w:r>
          </w:p>
        </w:tc>
        <w:tc>
          <w:tcPr>
            <w:tcW w:w="6932" w:type="dxa"/>
            <w:gridSpan w:val="3"/>
            <w:shd w:val="clear" w:color="auto" w:fill="auto"/>
            <w:tcMar>
              <w:top w:w="60" w:type="dxa"/>
              <w:left w:w="95" w:type="dxa"/>
              <w:bottom w:w="60" w:type="dxa"/>
              <w:right w:w="95" w:type="dxa"/>
            </w:tcMar>
          </w:tcPr>
          <w:p w14:paraId="083BA5E2">
            <w:pPr>
              <w:spacing w:after="12" w:line="230" w:lineRule="auto"/>
              <w:ind w:firstLine="640" w:firstLineChars="200"/>
              <w:jc w:val="both"/>
              <w:rPr>
                <w:rFonts w:ascii="仿宋_GB2312" w:hAnsi="宋体" w:eastAsia="仿宋_GB2312"/>
                <w:sz w:val="32"/>
                <w:szCs w:val="32"/>
              </w:rPr>
            </w:pPr>
            <w:r>
              <w:rPr>
                <w:rFonts w:hint="eastAsia" w:ascii="仿宋_GB2312" w:hAnsi="宋体" w:eastAsia="仿宋_GB2312"/>
                <w:sz w:val="32"/>
                <w:szCs w:val="32"/>
              </w:rPr>
              <w:t>城市经济与公共管理学院成立于2005年，相关学科历史悠久，专业积淀</w:t>
            </w:r>
            <w:bookmarkStart w:id="1" w:name="_GoBack"/>
            <w:bookmarkEnd w:id="1"/>
            <w:r>
              <w:rPr>
                <w:rFonts w:hint="eastAsia" w:ascii="仿宋_GB2312" w:hAnsi="宋体" w:eastAsia="仿宋_GB2312"/>
                <w:sz w:val="32"/>
                <w:szCs w:val="32"/>
              </w:rPr>
              <w:t>深厚，拥有国内创办最早（1984年）的城市管理专业。</w:t>
            </w:r>
          </w:p>
          <w:p w14:paraId="01F4B5C7">
            <w:pPr>
              <w:spacing w:after="12" w:line="230" w:lineRule="auto"/>
              <w:ind w:firstLine="640" w:firstLineChars="200"/>
              <w:jc w:val="both"/>
              <w:rPr>
                <w:rFonts w:ascii="仿宋_GB2312" w:hAnsi="宋体" w:eastAsia="仿宋_GB2312"/>
                <w:sz w:val="32"/>
                <w:szCs w:val="32"/>
              </w:rPr>
            </w:pPr>
            <w:r>
              <w:rPr>
                <w:rFonts w:hint="eastAsia" w:ascii="仿宋_GB2312" w:hAnsi="宋体" w:eastAsia="仿宋_GB2312"/>
                <w:sz w:val="32"/>
                <w:szCs w:val="32"/>
              </w:rPr>
              <w:t>姜超老师团队长期聚焦城市犯罪或安全问题，以空间为视角，开展涉及城市科学、犯罪科学、地理信息科学、经济学、管理学、社会学等学科的交叉研究。具体方向包括：犯罪大数据时空分析、建模与预测；基于智能体的犯罪过程模拟；未成年人犯罪及其日常活动与社会网络；新型警务基础设施的时空布局与优化；城市管理政策的犯罪影响效果评估等。</w:t>
            </w:r>
          </w:p>
          <w:p w14:paraId="40FA180E">
            <w:pPr>
              <w:spacing w:after="12" w:line="230" w:lineRule="auto"/>
              <w:ind w:firstLine="640" w:firstLineChars="200"/>
              <w:jc w:val="both"/>
              <w:rPr>
                <w:rFonts w:ascii="仿宋_GB2312" w:eastAsia="仿宋_GB2312"/>
                <w:sz w:val="32"/>
                <w:szCs w:val="32"/>
              </w:rPr>
            </w:pPr>
            <w:r>
              <w:rPr>
                <w:rFonts w:hint="eastAsia" w:ascii="仿宋_GB2312" w:hAnsi="宋体" w:eastAsia="仿宋_GB2312"/>
                <w:sz w:val="32"/>
                <w:szCs w:val="32"/>
              </w:rPr>
              <w:t>团队目前正在推进城市警用无人机基站布局效益分析及优化研究，以城市警情响应的现实需求为引导，探索低空经济背景下无人机、警力、警情需求之间的协同配置方案，已经在总体研究框架、基础数据处理、过程仿真模型、多目标空间优化等方面有丰富的积累。</w:t>
            </w:r>
          </w:p>
        </w:tc>
      </w:tr>
      <w:tr w14:paraId="29D70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668" w:type="dxa"/>
            <w:shd w:val="clear" w:color="auto" w:fill="auto"/>
            <w:tcMar>
              <w:top w:w="60" w:type="dxa"/>
              <w:left w:w="95" w:type="dxa"/>
              <w:bottom w:w="60" w:type="dxa"/>
              <w:right w:w="95" w:type="dxa"/>
            </w:tcMar>
            <w:vAlign w:val="center"/>
          </w:tcPr>
          <w:p w14:paraId="36ECDFCA">
            <w:pPr>
              <w:adjustRightInd w:val="0"/>
              <w:spacing w:after="12" w:line="230" w:lineRule="auto"/>
              <w:jc w:val="center"/>
              <w:rPr>
                <w:rFonts w:ascii="仿宋_GB2312" w:hAnsi="仿宋_GB2312" w:eastAsia="仿宋_GB2312" w:cs="仿宋_GB2312"/>
                <w:bCs/>
                <w:spacing w:val="6"/>
                <w:sz w:val="32"/>
                <w:szCs w:val="32"/>
              </w:rPr>
            </w:pPr>
            <w:r>
              <w:rPr>
                <w:rFonts w:hint="eastAsia" w:ascii="仿宋_GB2312" w:hAnsi="宋体" w:eastAsia="仿宋_GB2312" w:cs="仿宋_GB2312"/>
                <w:b/>
                <w:sz w:val="32"/>
                <w:szCs w:val="32"/>
                <w:lang w:val="en-US"/>
              </w:rPr>
              <w:t>联系人</w:t>
            </w:r>
          </w:p>
        </w:tc>
        <w:tc>
          <w:tcPr>
            <w:tcW w:w="3076" w:type="dxa"/>
            <w:shd w:val="clear" w:color="auto" w:fill="auto"/>
            <w:tcMar>
              <w:top w:w="60" w:type="dxa"/>
              <w:left w:w="95" w:type="dxa"/>
              <w:bottom w:w="60" w:type="dxa"/>
              <w:right w:w="95" w:type="dxa"/>
            </w:tcMar>
            <w:vAlign w:val="center"/>
          </w:tcPr>
          <w:p w14:paraId="385214BC">
            <w:pPr>
              <w:adjustRightInd w:val="0"/>
              <w:spacing w:after="12" w:line="230" w:lineRule="auto"/>
              <w:jc w:val="center"/>
              <w:rPr>
                <w:rFonts w:ascii="仿宋_GB2312" w:hAnsi="仿宋_GB2312" w:eastAsia="仿宋_GB2312" w:cs="仿宋_GB2312"/>
                <w:bCs/>
                <w:spacing w:val="6"/>
                <w:sz w:val="32"/>
                <w:szCs w:val="32"/>
                <w:lang w:val="en-US"/>
              </w:rPr>
            </w:pPr>
            <w:r>
              <w:rPr>
                <w:rFonts w:hint="eastAsia" w:ascii="仿宋_GB2312" w:hAnsi="宋体" w:eastAsia="仿宋_GB2312" w:cs="仿宋_GB2312"/>
                <w:bCs/>
                <w:spacing w:val="6"/>
                <w:sz w:val="32"/>
                <w:szCs w:val="32"/>
                <w:lang w:val="en-US"/>
              </w:rPr>
              <w:t>姜超</w:t>
            </w:r>
          </w:p>
        </w:tc>
        <w:tc>
          <w:tcPr>
            <w:tcW w:w="1073" w:type="dxa"/>
            <w:shd w:val="clear" w:color="auto" w:fill="auto"/>
            <w:tcMar>
              <w:top w:w="60" w:type="dxa"/>
              <w:left w:w="95" w:type="dxa"/>
              <w:bottom w:w="60" w:type="dxa"/>
              <w:right w:w="95" w:type="dxa"/>
            </w:tcMar>
            <w:vAlign w:val="center"/>
          </w:tcPr>
          <w:p w14:paraId="3FF24DA8">
            <w:pPr>
              <w:adjustRightInd w:val="0"/>
              <w:spacing w:after="12" w:line="230" w:lineRule="auto"/>
              <w:jc w:val="center"/>
              <w:rPr>
                <w:rFonts w:ascii="仿宋_GB2312" w:hAnsi="仿宋_GB2312" w:eastAsia="仿宋_GB2312" w:cs="仿宋_GB2312"/>
                <w:sz w:val="32"/>
                <w:szCs w:val="32"/>
              </w:rPr>
            </w:pPr>
            <w:r>
              <w:rPr>
                <w:rFonts w:hint="eastAsia" w:ascii="仿宋_GB2312" w:hAnsi="宋体" w:eastAsia="仿宋_GB2312" w:cs="仿宋_GB2312"/>
                <w:b/>
                <w:sz w:val="32"/>
                <w:szCs w:val="32"/>
                <w:lang w:val="en-US"/>
              </w:rPr>
              <w:t>手机</w:t>
            </w:r>
          </w:p>
        </w:tc>
        <w:tc>
          <w:tcPr>
            <w:tcW w:w="2783" w:type="dxa"/>
            <w:shd w:val="clear" w:color="auto" w:fill="auto"/>
            <w:tcMar>
              <w:top w:w="60" w:type="dxa"/>
              <w:left w:w="95" w:type="dxa"/>
              <w:bottom w:w="60" w:type="dxa"/>
              <w:right w:w="95" w:type="dxa"/>
            </w:tcMar>
            <w:vAlign w:val="center"/>
          </w:tcPr>
          <w:p w14:paraId="4D9A0C4F">
            <w:pPr>
              <w:adjustRightInd w:val="0"/>
              <w:spacing w:after="12" w:line="230" w:lineRule="auto"/>
              <w:jc w:val="center"/>
              <w:rPr>
                <w:rFonts w:ascii="仿宋_GB2312" w:hAnsi="仿宋_GB2312" w:eastAsia="仿宋_GB2312" w:cs="仿宋_GB2312"/>
                <w:sz w:val="32"/>
                <w:szCs w:val="32"/>
              </w:rPr>
            </w:pPr>
            <w:r>
              <w:rPr>
                <w:rFonts w:hint="eastAsia" w:ascii="仿宋_GB2312" w:hAnsi="宋体" w:eastAsia="仿宋_GB2312" w:cs="仿宋_GB2312"/>
                <w:bCs/>
                <w:spacing w:val="6"/>
                <w:sz w:val="32"/>
                <w:szCs w:val="32"/>
                <w:lang w:val="en-US"/>
              </w:rPr>
              <w:t>13631313098</w:t>
            </w:r>
          </w:p>
        </w:tc>
      </w:tr>
    </w:tbl>
    <w:p w14:paraId="39AFBFD1">
      <w:pPr>
        <w:tabs>
          <w:tab w:val="left" w:pos="8640"/>
        </w:tabs>
        <w:adjustRightInd w:val="0"/>
        <w:snapToGrid w:val="0"/>
        <w:spacing w:before="40" w:after="20"/>
        <w:rPr>
          <w:rFonts w:ascii="黑体" w:hAnsi="黑体" w:eastAsia="黑体" w:cs="黑体"/>
          <w:spacing w:val="6"/>
          <w:sz w:val="32"/>
          <w:szCs w:val="32"/>
        </w:rPr>
      </w:pPr>
      <w:r>
        <w:rPr>
          <w:rFonts w:hint="eastAsia" w:ascii="黑体" w:hAnsi="黑体" w:eastAsia="黑体" w:cs="黑体"/>
          <w:spacing w:val="6"/>
          <w:sz w:val="32"/>
          <w:szCs w:val="32"/>
        </w:rPr>
        <w:t>二、选题说明</w:t>
      </w:r>
    </w:p>
    <w:tbl>
      <w:tblPr>
        <w:tblStyle w:val="5"/>
        <w:tblW w:w="860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Layout w:type="fixed"/>
        <w:tblCellMar>
          <w:top w:w="57" w:type="dxa"/>
          <w:left w:w="57" w:type="dxa"/>
          <w:bottom w:w="57" w:type="dxa"/>
          <w:right w:w="57" w:type="dxa"/>
        </w:tblCellMar>
      </w:tblPr>
      <w:tblGrid>
        <w:gridCol w:w="1885"/>
        <w:gridCol w:w="6715"/>
      </w:tblGrid>
      <w:tr w14:paraId="47B6FCE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jc w:val="center"/>
        </w:trPr>
        <w:tc>
          <w:tcPr>
            <w:tcW w:w="1887" w:type="dxa"/>
            <w:tcBorders>
              <w:tl2br w:val="nil"/>
              <w:tr2bl w:val="nil"/>
            </w:tcBorders>
            <w:shd w:val="clear" w:color="auto" w:fill="F2F2F2"/>
            <w:tcMar>
              <w:top w:w="60" w:type="dxa"/>
              <w:left w:w="95" w:type="dxa"/>
              <w:bottom w:w="60" w:type="dxa"/>
              <w:right w:w="95" w:type="dxa"/>
            </w:tcMar>
            <w:vAlign w:val="center"/>
          </w:tcPr>
          <w:p w14:paraId="265E749E">
            <w:pPr>
              <w:adjustRightInd w:val="0"/>
              <w:snapToGrid w:val="0"/>
              <w:spacing w:after="12" w:line="230" w:lineRule="auto"/>
              <w:jc w:val="center"/>
              <w:rPr>
                <w:rFonts w:ascii="仿宋_GB2312" w:hAnsi="仿宋_GB2312" w:eastAsia="仿宋_GB2312" w:cs="仿宋_GB2312"/>
                <w:sz w:val="32"/>
                <w:szCs w:val="32"/>
              </w:rPr>
            </w:pPr>
            <w:r>
              <w:rPr>
                <w:rFonts w:hint="eastAsia" w:ascii="仿宋_GB2312" w:hAnsi="宋体" w:eastAsia="仿宋_GB2312" w:cs="仿宋_GB2312"/>
                <w:b/>
                <w:sz w:val="32"/>
                <w:szCs w:val="32"/>
              </w:rPr>
              <w:t>题目</w:t>
            </w:r>
          </w:p>
        </w:tc>
        <w:tc>
          <w:tcPr>
            <w:tcW w:w="6724" w:type="dxa"/>
            <w:tcBorders>
              <w:tl2br w:val="nil"/>
              <w:tr2bl w:val="nil"/>
            </w:tcBorders>
            <w:shd w:val="clear" w:color="auto" w:fill="FFFFFF"/>
            <w:tcMar>
              <w:top w:w="60" w:type="dxa"/>
              <w:left w:w="95" w:type="dxa"/>
              <w:bottom w:w="60" w:type="dxa"/>
              <w:right w:w="95" w:type="dxa"/>
            </w:tcMar>
            <w:vAlign w:val="center"/>
          </w:tcPr>
          <w:p w14:paraId="10AC9403">
            <w:pPr>
              <w:adjustRightInd w:val="0"/>
              <w:spacing w:after="12" w:line="230" w:lineRule="auto"/>
              <w:jc w:val="center"/>
              <w:rPr>
                <w:rFonts w:ascii="仿宋_GB2312" w:hAnsi="仿宋_GB2312" w:eastAsia="仿宋_GB2312" w:cs="仿宋_GB2312"/>
                <w:bCs/>
                <w:sz w:val="32"/>
                <w:szCs w:val="32"/>
                <w:lang w:val="en-US"/>
              </w:rPr>
            </w:pPr>
            <w:r>
              <w:rPr>
                <w:rFonts w:hint="eastAsia" w:ascii="仿宋_GB2312" w:hAnsi="宋体" w:eastAsia="仿宋_GB2312" w:cs="仿宋_GB2312"/>
                <w:bCs/>
                <w:sz w:val="32"/>
                <w:szCs w:val="32"/>
                <w:lang w:val="en-US"/>
              </w:rPr>
              <w:t>城市警用无人机基站的空间布局方案研究</w:t>
            </w:r>
          </w:p>
        </w:tc>
      </w:tr>
      <w:tr w14:paraId="7747A1D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jc w:val="center"/>
        </w:trPr>
        <w:tc>
          <w:tcPr>
            <w:tcW w:w="1887" w:type="dxa"/>
            <w:tcBorders>
              <w:tl2br w:val="nil"/>
              <w:tr2bl w:val="nil"/>
            </w:tcBorders>
            <w:shd w:val="clear" w:color="auto" w:fill="F2F2F2"/>
            <w:tcMar>
              <w:top w:w="60" w:type="dxa"/>
              <w:left w:w="95" w:type="dxa"/>
              <w:bottom w:w="60" w:type="dxa"/>
              <w:right w:w="95" w:type="dxa"/>
            </w:tcMar>
            <w:vAlign w:val="center"/>
          </w:tcPr>
          <w:p w14:paraId="5211CEA9">
            <w:pPr>
              <w:adjustRightInd w:val="0"/>
              <w:snapToGrid w:val="0"/>
              <w:spacing w:after="12" w:line="230" w:lineRule="auto"/>
              <w:jc w:val="center"/>
              <w:rPr>
                <w:rFonts w:ascii="仿宋_GB2312" w:hAnsi="仿宋_GB2312" w:eastAsia="仿宋_GB2312" w:cs="仿宋_GB2312"/>
                <w:sz w:val="32"/>
                <w:szCs w:val="32"/>
              </w:rPr>
            </w:pPr>
            <w:r>
              <w:rPr>
                <w:rFonts w:hint="eastAsia" w:ascii="仿宋_GB2312" w:hAnsi="宋体" w:eastAsia="仿宋_GB2312" w:cs="仿宋_GB2312"/>
                <w:b/>
                <w:sz w:val="32"/>
                <w:szCs w:val="32"/>
              </w:rPr>
              <w:t>题目介绍</w:t>
            </w:r>
          </w:p>
        </w:tc>
        <w:tc>
          <w:tcPr>
            <w:tcW w:w="6724" w:type="dxa"/>
            <w:tcBorders>
              <w:tl2br w:val="nil"/>
              <w:tr2bl w:val="nil"/>
            </w:tcBorders>
            <w:shd w:val="clear" w:color="auto" w:fill="FFFFFF"/>
            <w:tcMar>
              <w:top w:w="60" w:type="dxa"/>
              <w:left w:w="95" w:type="dxa"/>
              <w:bottom w:w="60" w:type="dxa"/>
              <w:right w:w="95" w:type="dxa"/>
            </w:tcMar>
          </w:tcPr>
          <w:p w14:paraId="05D4AFA0">
            <w:pPr>
              <w:spacing w:after="12" w:line="230" w:lineRule="auto"/>
              <w:ind w:firstLine="420"/>
              <w:jc w:val="both"/>
              <w:rPr>
                <w:rFonts w:ascii="仿宋_GB2312" w:hAnsi="宋体" w:eastAsia="仿宋_GB2312"/>
                <w:sz w:val="32"/>
                <w:szCs w:val="32"/>
                <w:lang w:val="en-US"/>
              </w:rPr>
            </w:pPr>
            <w:r>
              <w:rPr>
                <w:rFonts w:hint="eastAsia" w:ascii="仿宋_GB2312" w:hAnsi="宋体" w:eastAsia="仿宋_GB2312"/>
                <w:sz w:val="32"/>
                <w:szCs w:val="32"/>
                <w:lang w:val="en-US"/>
              </w:rPr>
              <w:t>近年来，在党和国家的大力支持下，低空经济蓬勃发展，已成为国家经济高质量发展的重要战略方向。</w:t>
            </w:r>
            <w:r>
              <w:rPr>
                <w:rFonts w:ascii="仿宋_GB2312" w:hAnsi="宋体" w:eastAsia="仿宋_GB2312"/>
                <w:sz w:val="32"/>
                <w:szCs w:val="32"/>
                <w:lang w:val="en-US"/>
              </w:rPr>
              <w:t xml:space="preserve">2024 </w:t>
            </w:r>
            <w:r>
              <w:rPr>
                <w:rFonts w:hint="eastAsia" w:ascii="仿宋_GB2312" w:hAnsi="宋体" w:eastAsia="仿宋_GB2312"/>
                <w:sz w:val="32"/>
                <w:szCs w:val="32"/>
                <w:lang w:val="en-US"/>
              </w:rPr>
              <w:t>年低空经济首次被写入《政府工作报告》，同年国家发展和改革委员会设立“低空经济发展司”。据估计，</w:t>
            </w:r>
            <w:r>
              <w:rPr>
                <w:rFonts w:ascii="仿宋_GB2312" w:hAnsi="宋体" w:eastAsia="仿宋_GB2312"/>
                <w:sz w:val="32"/>
                <w:szCs w:val="32"/>
                <w:lang w:val="en-US"/>
              </w:rPr>
              <w:t xml:space="preserve">2026 </w:t>
            </w:r>
            <w:r>
              <w:rPr>
                <w:rFonts w:hint="eastAsia" w:ascii="仿宋_GB2312" w:hAnsi="宋体" w:eastAsia="仿宋_GB2312"/>
                <w:sz w:val="32"/>
                <w:szCs w:val="32"/>
                <w:lang w:val="en-US"/>
              </w:rPr>
              <w:t>年我国低空经济规模有望突破万亿元。以技术迭代、政策完善与场景创新为特征的低空经济时代已经到来。</w:t>
            </w:r>
          </w:p>
          <w:p w14:paraId="618455FC">
            <w:pPr>
              <w:spacing w:after="12" w:line="230" w:lineRule="auto"/>
              <w:ind w:firstLine="420"/>
              <w:jc w:val="both"/>
              <w:rPr>
                <w:rFonts w:ascii="仿宋_GB2312" w:hAnsi="宋体" w:eastAsia="仿宋_GB2312"/>
                <w:sz w:val="32"/>
                <w:szCs w:val="32"/>
                <w:lang w:val="en-US"/>
              </w:rPr>
            </w:pPr>
            <w:r>
              <w:rPr>
                <w:rFonts w:hint="eastAsia" w:ascii="仿宋_GB2312" w:hAnsi="宋体" w:eastAsia="仿宋_GB2312"/>
                <w:sz w:val="32"/>
                <w:szCs w:val="32"/>
                <w:lang w:val="en-US"/>
              </w:rPr>
              <w:t>低空经济的蓬勃发展推动了无人机在国内公安部门中的快速普及应用，并逐步演变为城市公共安全领域重要新型基础设施。例如：深圳市公安局打造了</w:t>
            </w:r>
            <w:r>
              <w:rPr>
                <w:rFonts w:ascii="仿宋_GB2312" w:hAnsi="宋体" w:eastAsia="仿宋_GB2312"/>
                <w:sz w:val="32"/>
                <w:szCs w:val="32"/>
                <w:lang w:val="en-US"/>
              </w:rPr>
              <w:t xml:space="preserve">8 </w:t>
            </w:r>
            <w:r>
              <w:rPr>
                <w:rFonts w:hint="eastAsia" w:ascii="仿宋_GB2312" w:hAnsi="宋体" w:eastAsia="仿宋_GB2312"/>
                <w:sz w:val="32"/>
                <w:szCs w:val="32"/>
                <w:lang w:val="en-US"/>
              </w:rPr>
              <w:t>支专业化无人机警务队，飞手数量从</w:t>
            </w:r>
            <w:r>
              <w:rPr>
                <w:rFonts w:ascii="仿宋_GB2312" w:hAnsi="宋体" w:eastAsia="仿宋_GB2312"/>
                <w:sz w:val="32"/>
                <w:szCs w:val="32"/>
                <w:lang w:val="en-US"/>
              </w:rPr>
              <w:t xml:space="preserve">2024 </w:t>
            </w:r>
            <w:r>
              <w:rPr>
                <w:rFonts w:hint="eastAsia" w:ascii="仿宋_GB2312" w:hAnsi="宋体" w:eastAsia="仿宋_GB2312"/>
                <w:sz w:val="32"/>
                <w:szCs w:val="32"/>
                <w:lang w:val="en-US"/>
              </w:rPr>
              <w:t>年初的不足</w:t>
            </w:r>
            <w:r>
              <w:rPr>
                <w:rFonts w:ascii="仿宋_GB2312" w:hAnsi="宋体" w:eastAsia="仿宋_GB2312"/>
                <w:sz w:val="32"/>
                <w:szCs w:val="32"/>
                <w:lang w:val="en-US"/>
              </w:rPr>
              <w:t xml:space="preserve">400 </w:t>
            </w:r>
            <w:r>
              <w:rPr>
                <w:rFonts w:hint="eastAsia" w:ascii="仿宋_GB2312" w:hAnsi="宋体" w:eastAsia="仿宋_GB2312"/>
                <w:sz w:val="32"/>
                <w:szCs w:val="32"/>
                <w:lang w:val="en-US"/>
              </w:rPr>
              <w:t>人激增至</w:t>
            </w:r>
            <w:r>
              <w:rPr>
                <w:rFonts w:ascii="仿宋_GB2312" w:hAnsi="宋体" w:eastAsia="仿宋_GB2312"/>
                <w:sz w:val="32"/>
                <w:szCs w:val="32"/>
                <w:lang w:val="en-US"/>
              </w:rPr>
              <w:t xml:space="preserve">1667 </w:t>
            </w:r>
            <w:r>
              <w:rPr>
                <w:rFonts w:hint="eastAsia" w:ascii="仿宋_GB2312" w:hAnsi="宋体" w:eastAsia="仿宋_GB2312"/>
                <w:sz w:val="32"/>
                <w:szCs w:val="32"/>
                <w:lang w:val="en-US"/>
              </w:rPr>
              <w:t>人，日均部署</w:t>
            </w:r>
            <w:r>
              <w:rPr>
                <w:rFonts w:ascii="仿宋_GB2312" w:hAnsi="宋体" w:eastAsia="仿宋_GB2312"/>
                <w:sz w:val="32"/>
                <w:szCs w:val="32"/>
                <w:lang w:val="en-US"/>
              </w:rPr>
              <w:t xml:space="preserve">149 </w:t>
            </w:r>
            <w:r>
              <w:rPr>
                <w:rFonts w:hint="eastAsia" w:ascii="仿宋_GB2312" w:hAnsi="宋体" w:eastAsia="仿宋_GB2312"/>
                <w:sz w:val="32"/>
                <w:szCs w:val="32"/>
                <w:lang w:val="en-US"/>
              </w:rPr>
              <w:t>条空中巡段，累计飞行时长超</w:t>
            </w:r>
            <w:r>
              <w:rPr>
                <w:rFonts w:ascii="仿宋_GB2312" w:hAnsi="宋体" w:eastAsia="仿宋_GB2312"/>
                <w:sz w:val="32"/>
                <w:szCs w:val="32"/>
                <w:lang w:val="en-US"/>
              </w:rPr>
              <w:t xml:space="preserve">2 </w:t>
            </w:r>
            <w:r>
              <w:rPr>
                <w:rFonts w:hint="eastAsia" w:ascii="仿宋_GB2312" w:hAnsi="宋体" w:eastAsia="仿宋_GB2312"/>
                <w:sz w:val="32"/>
                <w:szCs w:val="32"/>
                <w:lang w:val="en-US"/>
              </w:rPr>
              <w:t>万小时。苏州相城公安自主研发了垂起固定翼无人机机场和指挥作战方舱，将巡航半径拓展至</w:t>
            </w:r>
            <w:r>
              <w:rPr>
                <w:rFonts w:ascii="仿宋_GB2312" w:hAnsi="宋体" w:eastAsia="仿宋_GB2312"/>
                <w:sz w:val="32"/>
                <w:szCs w:val="32"/>
                <w:lang w:val="en-US"/>
              </w:rPr>
              <w:t xml:space="preserve">50 </w:t>
            </w:r>
            <w:r>
              <w:rPr>
                <w:rFonts w:hint="eastAsia" w:ascii="仿宋_GB2312" w:hAnsi="宋体" w:eastAsia="仿宋_GB2312"/>
                <w:sz w:val="32"/>
                <w:szCs w:val="32"/>
                <w:lang w:val="en-US"/>
              </w:rPr>
              <w:t>公里，构建“</w:t>
            </w:r>
            <w:r>
              <w:rPr>
                <w:rFonts w:ascii="仿宋_GB2312" w:hAnsi="宋体" w:eastAsia="仿宋_GB2312"/>
                <w:sz w:val="32"/>
                <w:szCs w:val="32"/>
                <w:lang w:val="en-US"/>
              </w:rPr>
              <w:t xml:space="preserve">5 </w:t>
            </w:r>
            <w:r>
              <w:rPr>
                <w:rFonts w:hint="eastAsia" w:ascii="仿宋_GB2312" w:hAnsi="宋体" w:eastAsia="仿宋_GB2312"/>
                <w:sz w:val="32"/>
                <w:szCs w:val="32"/>
                <w:lang w:val="en-US"/>
              </w:rPr>
              <w:t>分钟快速响应圈”；</w:t>
            </w:r>
          </w:p>
          <w:p w14:paraId="545824E1">
            <w:pPr>
              <w:spacing w:after="12" w:line="230" w:lineRule="auto"/>
              <w:ind w:firstLine="420"/>
              <w:jc w:val="both"/>
              <w:rPr>
                <w:rFonts w:ascii="仿宋_GB2312" w:hAnsi="宋体" w:eastAsia="仿宋_GB2312"/>
                <w:sz w:val="32"/>
                <w:szCs w:val="32"/>
                <w:lang w:val="en-US"/>
              </w:rPr>
            </w:pPr>
            <w:r>
              <w:rPr>
                <w:rFonts w:hint="eastAsia" w:ascii="仿宋_GB2312" w:hAnsi="宋体" w:eastAsia="仿宋_GB2312"/>
                <w:sz w:val="32"/>
                <w:szCs w:val="32"/>
                <w:lang w:val="en-US"/>
              </w:rPr>
              <w:t>然而，在警用无人机部署方面，我国当前普遍面临着统筹规划缺失的困境导致存在大量的资源浪费或资源错配。在经济下行压力加大、财政预算高度紧张的当下，加强推动有限警务资源精准高效配置，成为当前各级公安系统迫切需要解决的重大问题。对于警用无人机，不同需求及应用场景下所需的无人机类型及性能各异，且对起降场站标准要求各不相同；同时城市内部也存在诸多飞行限制和公共安全需求，这些因素相互交织影响，加大了无人机统一规划布局的复杂性，也进一步凸显了开展相关科学研究的必要性。</w:t>
            </w:r>
          </w:p>
          <w:p w14:paraId="30DE71D5">
            <w:pPr>
              <w:spacing w:after="12" w:line="230" w:lineRule="auto"/>
              <w:ind w:firstLine="420"/>
              <w:jc w:val="both"/>
              <w:rPr>
                <w:rFonts w:ascii="仿宋_GB2312" w:hAnsi="宋体" w:eastAsia="仿宋_GB2312"/>
                <w:sz w:val="32"/>
                <w:szCs w:val="32"/>
                <w:lang w:val="en-US"/>
              </w:rPr>
            </w:pPr>
            <w:r>
              <w:rPr>
                <w:rFonts w:hint="eastAsia" w:ascii="仿宋_GB2312" w:hAnsi="宋体" w:eastAsia="仿宋_GB2312"/>
                <w:sz w:val="32"/>
                <w:szCs w:val="32"/>
                <w:lang w:val="en-US"/>
              </w:rPr>
              <w:t>基于以上背景，本课题对城市内部警用无人机的时空布局开展研究，既考虑到犯罪和警情需求的时空差异，也将传统警务运行过程中的相关主体纳入考虑，研究提出促进警用无人机空间布局与警务运行之间产生正向协同作用的方案。</w:t>
            </w:r>
          </w:p>
          <w:p w14:paraId="7E394CE3">
            <w:pPr>
              <w:spacing w:after="12" w:line="230" w:lineRule="auto"/>
              <w:ind w:firstLine="420"/>
              <w:jc w:val="both"/>
              <w:rPr>
                <w:rFonts w:ascii="仿宋_GB2312" w:hAnsi="宋体" w:eastAsia="仿宋_GB2312"/>
                <w:sz w:val="32"/>
                <w:szCs w:val="32"/>
                <w:lang w:val="en-US"/>
              </w:rPr>
            </w:pPr>
            <w:r>
              <w:rPr>
                <w:rFonts w:hint="eastAsia" w:ascii="仿宋_GB2312" w:hAnsi="宋体" w:eastAsia="仿宋_GB2312" w:cs="仿宋_GB2312"/>
                <w:bCs/>
                <w:sz w:val="32"/>
                <w:szCs w:val="32"/>
                <w:lang w:val="en-US"/>
              </w:rPr>
              <w:t>关于城市警用无人机基站的空间布局方案需要包括：1）大中小型警用无人机基站选址的制约因素体系及空间适宜性分级方案；2）反映现实中无人机警务响应的智能体模拟二次开发模型；3）无人机基站空间布局的“成本-效率”多目标空间优化方案。</w:t>
            </w:r>
          </w:p>
        </w:tc>
      </w:tr>
      <w:tr w14:paraId="3E0CE1C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jc w:val="center"/>
        </w:trPr>
        <w:tc>
          <w:tcPr>
            <w:tcW w:w="1887" w:type="dxa"/>
            <w:tcBorders>
              <w:right w:val="single" w:color="auto" w:sz="4" w:space="0"/>
              <w:tl2br w:val="nil"/>
              <w:tr2bl w:val="nil"/>
            </w:tcBorders>
            <w:shd w:val="clear" w:color="auto" w:fill="F2F2F2"/>
            <w:tcMar>
              <w:top w:w="60" w:type="dxa"/>
              <w:left w:w="95" w:type="dxa"/>
              <w:bottom w:w="60" w:type="dxa"/>
              <w:right w:w="95" w:type="dxa"/>
            </w:tcMar>
            <w:vAlign w:val="center"/>
          </w:tcPr>
          <w:p w14:paraId="12198FCD">
            <w:pPr>
              <w:adjustRightInd w:val="0"/>
              <w:snapToGrid w:val="0"/>
              <w:spacing w:after="12" w:line="230" w:lineRule="auto"/>
              <w:jc w:val="center"/>
              <w:rPr>
                <w:rFonts w:ascii="仿宋_GB2312" w:hAnsi="仿宋_GB2312" w:eastAsia="仿宋_GB2312" w:cs="仿宋_GB2312"/>
                <w:sz w:val="32"/>
                <w:szCs w:val="32"/>
              </w:rPr>
            </w:pPr>
            <w:r>
              <w:rPr>
                <w:rFonts w:hint="eastAsia" w:ascii="仿宋_GB2312" w:hAnsi="宋体" w:eastAsia="仿宋_GB2312" w:cs="仿宋_GB2312"/>
                <w:b/>
                <w:sz w:val="32"/>
                <w:szCs w:val="32"/>
                <w:lang w:val="en-US"/>
              </w:rPr>
              <w:t>最终成果</w:t>
            </w:r>
            <w:r>
              <w:rPr>
                <w:rFonts w:hint="eastAsia" w:ascii="仿宋_GB2312" w:hAnsi="宋体" w:eastAsia="仿宋_GB2312" w:cs="仿宋_GB2312"/>
                <w:b/>
                <w:sz w:val="32"/>
                <w:szCs w:val="32"/>
              </w:rPr>
              <w:t>要求</w:t>
            </w:r>
          </w:p>
        </w:tc>
        <w:tc>
          <w:tcPr>
            <w:tcW w:w="6724" w:type="dxa"/>
            <w:tcBorders>
              <w:top w:val="single" w:color="auto" w:sz="4" w:space="0"/>
              <w:left w:val="single" w:color="auto" w:sz="4" w:space="0"/>
              <w:bottom w:val="single" w:color="auto" w:sz="4" w:space="0"/>
              <w:right w:val="single" w:color="auto" w:sz="4" w:space="0"/>
              <w:tl2br w:val="nil"/>
              <w:tr2bl w:val="nil"/>
            </w:tcBorders>
            <w:shd w:val="clear" w:color="auto" w:fill="FFFFFF"/>
            <w:tcMar>
              <w:top w:w="60" w:type="dxa"/>
              <w:left w:w="95" w:type="dxa"/>
              <w:bottom w:w="60" w:type="dxa"/>
              <w:right w:w="95" w:type="dxa"/>
            </w:tcMar>
          </w:tcPr>
          <w:p w14:paraId="341843F2">
            <w:pPr>
              <w:spacing w:after="12" w:line="230" w:lineRule="auto"/>
              <w:ind w:left="295" w:hanging="295"/>
              <w:rPr>
                <w:rFonts w:ascii="仿宋_GB2312" w:hAnsi="宋体" w:eastAsia="仿宋_GB2312"/>
                <w:bCs/>
                <w:sz w:val="32"/>
                <w:szCs w:val="32"/>
              </w:rPr>
            </w:pPr>
            <w:r>
              <w:rPr>
                <w:rFonts w:hint="eastAsia" w:ascii="仿宋_GB2312" w:hAnsi="宋体" w:eastAsia="仿宋_GB2312"/>
                <w:bCs/>
                <w:sz w:val="32"/>
                <w:szCs w:val="32"/>
              </w:rPr>
              <w:t>1. 研究报告：根据题目介绍，形成包括选址因素、无人机警务模拟、多目标空间优化等在内的城市警用无人机基站空间布局方案研究报告。</w:t>
            </w:r>
          </w:p>
          <w:p w14:paraId="1DE0AAFB">
            <w:pPr>
              <w:spacing w:after="12" w:line="230" w:lineRule="auto"/>
              <w:ind w:left="295" w:hanging="295"/>
              <w:rPr>
                <w:rFonts w:ascii="仿宋_GB2312" w:eastAsia="仿宋_GB2312"/>
                <w:bCs/>
                <w:sz w:val="32"/>
                <w:szCs w:val="32"/>
              </w:rPr>
            </w:pPr>
            <w:r>
              <w:rPr>
                <w:rFonts w:ascii="仿宋_GB2312" w:eastAsia="仿宋_GB2312"/>
                <w:bCs/>
                <w:sz w:val="32"/>
                <w:szCs w:val="32"/>
              </w:rPr>
              <w:t xml:space="preserve">2. </w:t>
            </w:r>
            <w:r>
              <w:rPr>
                <w:rFonts w:hint="eastAsia" w:ascii="仿宋_GB2312" w:eastAsia="仿宋_GB2312"/>
                <w:bCs/>
                <w:sz w:val="32"/>
                <w:szCs w:val="32"/>
              </w:rPr>
              <w:t>可复现的数据与模型结果。包括：对所提供数据进行处理的过程记录、对无人机警务智能模拟平台的二次开发模型、其他必要性的分析过程。</w:t>
            </w:r>
          </w:p>
          <w:p w14:paraId="6A5AF243">
            <w:pPr>
              <w:spacing w:after="12" w:line="230" w:lineRule="auto"/>
              <w:ind w:left="295" w:hanging="295"/>
              <w:rPr>
                <w:rFonts w:ascii="仿宋_GB2312" w:eastAsia="仿宋_GB2312"/>
                <w:sz w:val="32"/>
                <w:szCs w:val="32"/>
              </w:rPr>
            </w:pPr>
            <w:r>
              <w:rPr>
                <w:rFonts w:ascii="仿宋_GB2312" w:hAnsi="宋体" w:eastAsia="仿宋_GB2312"/>
                <w:bCs/>
                <w:sz w:val="32"/>
                <w:szCs w:val="32"/>
              </w:rPr>
              <w:t>3</w:t>
            </w:r>
            <w:r>
              <w:rPr>
                <w:rFonts w:hint="eastAsia" w:ascii="仿宋_GB2312" w:hAnsi="宋体" w:eastAsia="仿宋_GB2312"/>
                <w:bCs/>
                <w:sz w:val="32"/>
                <w:szCs w:val="32"/>
              </w:rPr>
              <w:t>. 政策建议与展示材料：形成面向城市管理、公安等实务部门的政策建议书/汇报PPT。</w:t>
            </w:r>
          </w:p>
        </w:tc>
      </w:tr>
    </w:tbl>
    <w:p w14:paraId="0F3FAA81">
      <w:pPr>
        <w:tabs>
          <w:tab w:val="left" w:pos="8640"/>
        </w:tabs>
        <w:adjustRightInd w:val="0"/>
        <w:snapToGrid w:val="0"/>
        <w:spacing w:before="40" w:after="20"/>
        <w:rPr>
          <w:rFonts w:ascii="黑体" w:hAnsi="黑体" w:eastAsia="黑体" w:cs="黑体"/>
          <w:spacing w:val="6"/>
          <w:sz w:val="32"/>
          <w:szCs w:val="32"/>
        </w:rPr>
      </w:pPr>
      <w:r>
        <w:rPr>
          <w:rFonts w:hint="eastAsia" w:ascii="黑体" w:hAnsi="黑体" w:eastAsia="黑体" w:cs="黑体"/>
          <w:spacing w:val="6"/>
          <w:sz w:val="32"/>
          <w:szCs w:val="32"/>
        </w:rPr>
        <w:t>三、激励保障</w:t>
      </w:r>
    </w:p>
    <w:tbl>
      <w:tblPr>
        <w:tblStyle w:val="5"/>
        <w:tblW w:w="860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Layout w:type="fixed"/>
        <w:tblCellMar>
          <w:top w:w="57" w:type="dxa"/>
          <w:left w:w="57" w:type="dxa"/>
          <w:bottom w:w="57" w:type="dxa"/>
          <w:right w:w="57" w:type="dxa"/>
        </w:tblCellMar>
      </w:tblPr>
      <w:tblGrid>
        <w:gridCol w:w="1835"/>
        <w:gridCol w:w="6765"/>
      </w:tblGrid>
      <w:tr w14:paraId="043795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jc w:val="center"/>
        </w:trPr>
        <w:tc>
          <w:tcPr>
            <w:tcW w:w="1815" w:type="dxa"/>
            <w:tcBorders>
              <w:tl2br w:val="nil"/>
              <w:tr2bl w:val="nil"/>
            </w:tcBorders>
            <w:shd w:val="clear" w:color="auto" w:fill="F2F2F2"/>
            <w:tcMar>
              <w:top w:w="60" w:type="dxa"/>
              <w:left w:w="95" w:type="dxa"/>
              <w:bottom w:w="60" w:type="dxa"/>
              <w:right w:w="95" w:type="dxa"/>
            </w:tcMar>
            <w:vAlign w:val="center"/>
          </w:tcPr>
          <w:p w14:paraId="187CC459">
            <w:pPr>
              <w:adjustRightInd w:val="0"/>
              <w:snapToGrid w:val="0"/>
              <w:spacing w:after="12" w:line="230" w:lineRule="auto"/>
              <w:jc w:val="center"/>
              <w:rPr>
                <w:rFonts w:ascii="仿宋_GB2312" w:hAnsi="仿宋_GB2312" w:eastAsia="仿宋_GB2312" w:cs="仿宋_GB2312"/>
                <w:sz w:val="32"/>
                <w:szCs w:val="32"/>
              </w:rPr>
            </w:pPr>
            <w:bookmarkStart w:id="0" w:name="OLE_LINK2"/>
            <w:r>
              <w:rPr>
                <w:rFonts w:hint="eastAsia" w:ascii="仿宋_GB2312" w:hAnsi="宋体" w:eastAsia="仿宋_GB2312" w:cs="仿宋_GB2312"/>
                <w:b/>
                <w:sz w:val="32"/>
                <w:szCs w:val="32"/>
                <w:lang w:val="en-US"/>
              </w:rPr>
              <w:t>资源支持</w:t>
            </w:r>
          </w:p>
        </w:tc>
        <w:tc>
          <w:tcPr>
            <w:tcW w:w="6689" w:type="dxa"/>
            <w:tcBorders>
              <w:tl2br w:val="nil"/>
              <w:tr2bl w:val="nil"/>
            </w:tcBorders>
            <w:shd w:val="clear" w:color="auto" w:fill="FFFFFF"/>
            <w:tcMar>
              <w:top w:w="60" w:type="dxa"/>
              <w:left w:w="95" w:type="dxa"/>
              <w:bottom w:w="60" w:type="dxa"/>
              <w:right w:w="95" w:type="dxa"/>
            </w:tcMar>
          </w:tcPr>
          <w:p w14:paraId="4D56E0D9">
            <w:pPr>
              <w:pStyle w:val="14"/>
              <w:numPr>
                <w:ilvl w:val="0"/>
                <w:numId w:val="1"/>
              </w:numPr>
              <w:spacing w:after="12" w:line="230" w:lineRule="auto"/>
              <w:ind w:firstLineChars="0"/>
              <w:rPr>
                <w:rFonts w:ascii="仿宋_GB2312" w:hAnsi="宋体" w:eastAsia="仿宋_GB2312"/>
                <w:bCs/>
                <w:sz w:val="32"/>
                <w:szCs w:val="32"/>
              </w:rPr>
            </w:pPr>
            <w:r>
              <w:rPr>
                <w:rFonts w:hint="eastAsia" w:ascii="仿宋_GB2312" w:hAnsi="宋体" w:eastAsia="仿宋_GB2312"/>
                <w:bCs/>
                <w:sz w:val="32"/>
                <w:szCs w:val="32"/>
              </w:rPr>
              <w:t>数据资料支持：提供对案例城市各类数据的访问权限，包括：经过脱敏脱密处理后的各类警情数据；道路网络、P</w:t>
            </w:r>
            <w:r>
              <w:rPr>
                <w:rFonts w:ascii="仿宋_GB2312" w:hAnsi="宋体" w:eastAsia="仿宋_GB2312"/>
                <w:bCs/>
                <w:sz w:val="32"/>
                <w:szCs w:val="32"/>
              </w:rPr>
              <w:t>OI</w:t>
            </w:r>
            <w:r>
              <w:rPr>
                <w:rFonts w:hint="eastAsia" w:ascii="仿宋_GB2312" w:hAnsi="宋体" w:eastAsia="仿宋_GB2312"/>
                <w:bCs/>
                <w:sz w:val="32"/>
                <w:szCs w:val="32"/>
              </w:rPr>
              <w:t>等建成环境空间数据。</w:t>
            </w:r>
          </w:p>
          <w:p w14:paraId="416301F9">
            <w:pPr>
              <w:pStyle w:val="14"/>
              <w:numPr>
                <w:ilvl w:val="0"/>
                <w:numId w:val="1"/>
              </w:numPr>
              <w:spacing w:after="12" w:line="230" w:lineRule="auto"/>
              <w:ind w:firstLineChars="0"/>
              <w:rPr>
                <w:rFonts w:ascii="仿宋_GB2312" w:hAnsi="宋体" w:eastAsia="仿宋_GB2312"/>
                <w:bCs/>
                <w:sz w:val="32"/>
                <w:szCs w:val="32"/>
              </w:rPr>
            </w:pPr>
            <w:r>
              <w:rPr>
                <w:rFonts w:hint="eastAsia" w:ascii="仿宋_GB2312" w:hAnsi="宋体" w:eastAsia="仿宋_GB2312"/>
                <w:bCs/>
                <w:sz w:val="32"/>
                <w:szCs w:val="32"/>
              </w:rPr>
              <w:t>智能模拟平台支持：团队已开发了基于智能体模拟的无人机警务仿真模拟平台，可提供对该平台的访问渠道，支持进行学习和二次开发。</w:t>
            </w:r>
          </w:p>
          <w:p w14:paraId="146A4E55">
            <w:pPr>
              <w:pStyle w:val="14"/>
              <w:numPr>
                <w:ilvl w:val="0"/>
                <w:numId w:val="1"/>
              </w:numPr>
              <w:spacing w:after="12" w:line="230" w:lineRule="auto"/>
              <w:ind w:firstLineChars="0"/>
              <w:rPr>
                <w:rFonts w:ascii="仿宋_GB2312" w:hAnsi="宋体" w:eastAsia="仿宋_GB2312"/>
                <w:bCs/>
                <w:sz w:val="32"/>
                <w:szCs w:val="32"/>
              </w:rPr>
            </w:pPr>
            <w:r>
              <w:rPr>
                <w:rFonts w:eastAsia="仿宋_GB2312" w:cs="仿宋_GB2312"/>
                <w:bCs/>
                <w:sz w:val="32"/>
                <w:szCs w:val="32"/>
                <w:lang w:val="en-US"/>
              </w:rPr>
              <w:t>学术指导：实践期间</w:t>
            </w:r>
            <w:r>
              <w:rPr>
                <w:rFonts w:hint="eastAsia" w:eastAsia="仿宋_GB2312" w:cs="仿宋_GB2312"/>
                <w:bCs/>
                <w:sz w:val="32"/>
                <w:szCs w:val="32"/>
                <w:lang w:val="en-US"/>
              </w:rPr>
              <w:t>定期</w:t>
            </w:r>
            <w:r>
              <w:rPr>
                <w:rFonts w:eastAsia="仿宋_GB2312" w:cs="仿宋_GB2312"/>
                <w:bCs/>
                <w:sz w:val="32"/>
                <w:szCs w:val="32"/>
                <w:lang w:val="en-US"/>
              </w:rPr>
              <w:t>召开线上/线下交流会，答疑解惑并跟踪进度。</w:t>
            </w:r>
          </w:p>
          <w:p w14:paraId="48EDB020">
            <w:pPr>
              <w:pStyle w:val="14"/>
              <w:numPr>
                <w:ilvl w:val="0"/>
                <w:numId w:val="1"/>
              </w:numPr>
              <w:spacing w:after="12" w:line="230" w:lineRule="auto"/>
              <w:ind w:firstLineChars="0"/>
              <w:rPr>
                <w:rFonts w:ascii="仿宋_GB2312" w:hAnsi="宋体" w:eastAsia="仿宋_GB2312"/>
                <w:bCs/>
                <w:sz w:val="32"/>
                <w:szCs w:val="32"/>
              </w:rPr>
            </w:pPr>
            <w:r>
              <w:rPr>
                <w:rFonts w:eastAsia="仿宋_GB2312" w:cs="仿宋_GB2312"/>
                <w:bCs/>
                <w:sz w:val="32"/>
                <w:szCs w:val="32"/>
                <w:lang w:val="en-US"/>
              </w:rPr>
              <w:t>科研赋能：表现优秀的团队成员可深度参与后期</w:t>
            </w:r>
            <w:r>
              <w:rPr>
                <w:rFonts w:hint="eastAsia" w:eastAsia="仿宋_GB2312" w:cs="仿宋_GB2312"/>
                <w:bCs/>
                <w:sz w:val="32"/>
                <w:szCs w:val="32"/>
                <w:lang w:val="en-US"/>
              </w:rPr>
              <w:t>相关</w:t>
            </w:r>
            <w:r>
              <w:rPr>
                <w:rFonts w:eastAsia="仿宋_GB2312" w:cs="仿宋_GB2312"/>
                <w:bCs/>
                <w:sz w:val="32"/>
                <w:szCs w:val="32"/>
                <w:lang w:val="en-US"/>
              </w:rPr>
              <w:t>论文撰写。</w:t>
            </w:r>
          </w:p>
          <w:p w14:paraId="5E3FB4E2">
            <w:pPr>
              <w:pStyle w:val="14"/>
              <w:numPr>
                <w:ilvl w:val="0"/>
                <w:numId w:val="1"/>
              </w:numPr>
              <w:spacing w:after="12" w:line="230" w:lineRule="auto"/>
              <w:ind w:firstLineChars="0"/>
              <w:rPr>
                <w:rFonts w:eastAsia="仿宋_GB2312" w:cs="仿宋_GB2312"/>
                <w:bCs/>
                <w:sz w:val="32"/>
                <w:szCs w:val="32"/>
                <w:lang w:val="en-US"/>
              </w:rPr>
            </w:pPr>
            <w:r>
              <w:rPr>
                <w:rFonts w:hint="eastAsia" w:eastAsia="仿宋_GB2312" w:cs="仿宋_GB2312"/>
                <w:bCs/>
                <w:sz w:val="32"/>
                <w:szCs w:val="32"/>
                <w:lang w:val="en-US"/>
              </w:rPr>
              <w:t>场地支持：可通过城市群系统演化与可持续发展的决策模拟北京市重点实验室进行工作推进会、学术指导交流讨论的保障。</w:t>
            </w:r>
          </w:p>
          <w:p w14:paraId="71206E62">
            <w:pPr>
              <w:pStyle w:val="14"/>
              <w:numPr>
                <w:ilvl w:val="0"/>
                <w:numId w:val="1"/>
              </w:numPr>
              <w:spacing w:after="12" w:line="230" w:lineRule="auto"/>
              <w:ind w:firstLineChars="0"/>
              <w:rPr>
                <w:rFonts w:ascii="仿宋_GB2312" w:eastAsia="仿宋_GB2312"/>
                <w:bCs/>
                <w:sz w:val="32"/>
                <w:szCs w:val="32"/>
              </w:rPr>
            </w:pPr>
            <w:r>
              <w:rPr>
                <w:rFonts w:hint="eastAsia" w:eastAsia="仿宋_GB2312" w:cs="仿宋_GB2312"/>
                <w:bCs/>
                <w:sz w:val="32"/>
                <w:szCs w:val="32"/>
                <w:lang w:val="en-US"/>
              </w:rPr>
              <w:t>对于有数据处理能力的同学，如没有成熟团队，可个人报名，由出题方进行团队组建。</w:t>
            </w:r>
          </w:p>
        </w:tc>
      </w:tr>
      <w:bookmarkEnd w:id="0"/>
    </w:tbl>
    <w:p w14:paraId="63769D50">
      <w:pPr>
        <w:tabs>
          <w:tab w:val="left" w:pos="8640"/>
        </w:tabs>
        <w:adjustRightInd w:val="0"/>
        <w:snapToGrid w:val="0"/>
        <w:spacing w:before="40" w:after="20"/>
        <w:rPr>
          <w:rFonts w:ascii="黑体" w:hAnsi="黑体" w:eastAsia="黑体" w:cs="黑体"/>
          <w:spacing w:val="6"/>
          <w:sz w:val="32"/>
          <w:szCs w:val="32"/>
          <w:lang w:val="en-US"/>
        </w:rPr>
      </w:pPr>
      <w:r>
        <w:rPr>
          <w:rFonts w:hint="eastAsia" w:ascii="黑体" w:hAnsi="黑体" w:eastAsia="黑体" w:cs="黑体"/>
          <w:spacing w:val="6"/>
          <w:sz w:val="32"/>
          <w:szCs w:val="32"/>
          <w:lang w:val="en-US"/>
        </w:rPr>
        <w:t>四、提交方式</w:t>
      </w:r>
    </w:p>
    <w:tbl>
      <w:tblPr>
        <w:tblStyle w:val="5"/>
        <w:tblW w:w="860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Layout w:type="fixed"/>
        <w:tblCellMar>
          <w:top w:w="57" w:type="dxa"/>
          <w:left w:w="57" w:type="dxa"/>
          <w:bottom w:w="57" w:type="dxa"/>
          <w:right w:w="57" w:type="dxa"/>
        </w:tblCellMar>
      </w:tblPr>
      <w:tblGrid>
        <w:gridCol w:w="1835"/>
        <w:gridCol w:w="6765"/>
      </w:tblGrid>
      <w:tr w14:paraId="54C58BD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815" w:type="dxa"/>
            <w:tcBorders>
              <w:tl2br w:val="nil"/>
              <w:tr2bl w:val="nil"/>
            </w:tcBorders>
            <w:shd w:val="clear" w:color="auto" w:fill="F2F2F2"/>
            <w:tcMar>
              <w:top w:w="60" w:type="dxa"/>
              <w:left w:w="95" w:type="dxa"/>
              <w:bottom w:w="60" w:type="dxa"/>
              <w:right w:w="95" w:type="dxa"/>
            </w:tcMar>
            <w:vAlign w:val="center"/>
          </w:tcPr>
          <w:p w14:paraId="587DE31F">
            <w:pPr>
              <w:adjustRightInd w:val="0"/>
              <w:snapToGrid w:val="0"/>
              <w:spacing w:after="12" w:line="230" w:lineRule="auto"/>
              <w:jc w:val="center"/>
              <w:rPr>
                <w:rFonts w:ascii="仿宋_GB2312" w:hAnsi="仿宋_GB2312" w:eastAsia="仿宋_GB2312" w:cs="仿宋_GB2312"/>
                <w:sz w:val="32"/>
                <w:szCs w:val="32"/>
                <w:shd w:val="clear" w:color="auto" w:fill="auto"/>
                <w:lang w:val="en-US"/>
              </w:rPr>
            </w:pPr>
            <w:r>
              <w:rPr>
                <w:rFonts w:hint="eastAsia" w:ascii="仿宋_GB2312" w:hAnsi="宋体" w:eastAsia="仿宋_GB2312" w:cs="仿宋_GB2312"/>
                <w:b/>
                <w:sz w:val="32"/>
                <w:szCs w:val="32"/>
                <w:shd w:val="clear" w:color="auto" w:fill="auto"/>
                <w:lang w:val="en-US"/>
              </w:rPr>
              <w:t>提交时间</w:t>
            </w:r>
          </w:p>
        </w:tc>
        <w:tc>
          <w:tcPr>
            <w:tcW w:w="6689" w:type="dxa"/>
            <w:tcBorders>
              <w:tl2br w:val="nil"/>
              <w:tr2bl w:val="nil"/>
            </w:tcBorders>
            <w:shd w:val="clear" w:color="auto" w:fill="FFFFFF"/>
            <w:tcMar>
              <w:top w:w="60" w:type="dxa"/>
              <w:left w:w="95" w:type="dxa"/>
              <w:bottom w:w="60" w:type="dxa"/>
              <w:right w:w="95" w:type="dxa"/>
            </w:tcMar>
            <w:vAlign w:val="center"/>
          </w:tcPr>
          <w:p w14:paraId="707F0D07">
            <w:pPr>
              <w:spacing w:after="12" w:line="230" w:lineRule="auto"/>
              <w:rPr>
                <w:rFonts w:ascii="仿宋_GB2312" w:eastAsia="仿宋_GB2312"/>
                <w:sz w:val="32"/>
                <w:szCs w:val="32"/>
              </w:rPr>
            </w:pPr>
            <w:r>
              <w:rPr>
                <w:rFonts w:hint="eastAsia" w:ascii="仿宋_GB2312" w:hAnsi="宋体" w:eastAsia="仿宋_GB2312"/>
                <w:sz w:val="32"/>
                <w:szCs w:val="32"/>
              </w:rPr>
              <w:t>5月27日前，提交符合榜单要求的实践方案</w:t>
            </w:r>
          </w:p>
          <w:p w14:paraId="5523AD8B">
            <w:pPr>
              <w:spacing w:after="12" w:line="230" w:lineRule="auto"/>
              <w:rPr>
                <w:rFonts w:ascii="仿宋_GB2312" w:eastAsia="仿宋_GB2312"/>
                <w:sz w:val="32"/>
                <w:szCs w:val="32"/>
              </w:rPr>
            </w:pPr>
            <w:r>
              <w:rPr>
                <w:rFonts w:hint="eastAsia" w:ascii="仿宋_GB2312" w:hAnsi="宋体" w:eastAsia="仿宋_GB2312"/>
                <w:i/>
                <w:sz w:val="32"/>
                <w:szCs w:val="32"/>
              </w:rPr>
              <w:t>注：此实践方案为遴选挂帅团队的重要材料</w:t>
            </w:r>
          </w:p>
        </w:tc>
      </w:tr>
      <w:tr w14:paraId="2988DC7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jc w:val="center"/>
        </w:trPr>
        <w:tc>
          <w:tcPr>
            <w:tcW w:w="1815" w:type="dxa"/>
            <w:tcBorders>
              <w:tl2br w:val="nil"/>
              <w:tr2bl w:val="nil"/>
            </w:tcBorders>
            <w:shd w:val="clear" w:color="auto" w:fill="F2F2F2"/>
            <w:tcMar>
              <w:top w:w="60" w:type="dxa"/>
              <w:left w:w="95" w:type="dxa"/>
              <w:bottom w:w="60" w:type="dxa"/>
              <w:right w:w="95" w:type="dxa"/>
            </w:tcMar>
            <w:vAlign w:val="center"/>
          </w:tcPr>
          <w:p w14:paraId="39923828">
            <w:pPr>
              <w:adjustRightInd w:val="0"/>
              <w:snapToGrid w:val="0"/>
              <w:spacing w:after="12" w:line="230" w:lineRule="auto"/>
              <w:jc w:val="center"/>
              <w:rPr>
                <w:rFonts w:ascii="仿宋_GB2312" w:hAnsi="仿宋_GB2312" w:eastAsia="仿宋_GB2312" w:cs="仿宋_GB2312"/>
                <w:sz w:val="32"/>
                <w:szCs w:val="32"/>
                <w:shd w:val="clear" w:color="auto" w:fill="auto"/>
                <w:lang w:val="en-US"/>
              </w:rPr>
            </w:pPr>
            <w:r>
              <w:rPr>
                <w:rFonts w:hint="eastAsia" w:ascii="仿宋_GB2312" w:hAnsi="宋体" w:eastAsia="仿宋_GB2312" w:cs="仿宋_GB2312"/>
                <w:b/>
                <w:sz w:val="32"/>
                <w:szCs w:val="32"/>
                <w:shd w:val="clear" w:color="auto" w:fill="auto"/>
                <w:lang w:val="en-US"/>
              </w:rPr>
              <w:t>提交邮箱</w:t>
            </w:r>
          </w:p>
        </w:tc>
        <w:tc>
          <w:tcPr>
            <w:tcW w:w="6689" w:type="dxa"/>
            <w:tcBorders>
              <w:tl2br w:val="nil"/>
              <w:tr2bl w:val="nil"/>
            </w:tcBorders>
            <w:shd w:val="clear" w:color="auto" w:fill="FFFFFF"/>
            <w:tcMar>
              <w:top w:w="60" w:type="dxa"/>
              <w:left w:w="95" w:type="dxa"/>
              <w:bottom w:w="60" w:type="dxa"/>
              <w:right w:w="95" w:type="dxa"/>
            </w:tcMar>
            <w:vAlign w:val="center"/>
          </w:tcPr>
          <w:p w14:paraId="39811ED6">
            <w:pPr>
              <w:adjustRightInd w:val="0"/>
              <w:snapToGrid w:val="0"/>
              <w:spacing w:after="12" w:line="230" w:lineRule="auto"/>
              <w:jc w:val="center"/>
              <w:rPr>
                <w:rFonts w:ascii="仿宋_GB2312" w:hAnsi="仿宋_GB2312" w:eastAsia="仿宋_GB2312" w:cs="仿宋_GB2312"/>
                <w:sz w:val="32"/>
                <w:szCs w:val="32"/>
                <w:lang w:val="en-US"/>
              </w:rPr>
            </w:pPr>
            <w:r>
              <w:rPr>
                <w:rFonts w:hint="eastAsia" w:ascii="仿宋_GB2312" w:hAnsi="宋体" w:eastAsia="仿宋_GB2312" w:cs="仿宋_GB2312"/>
                <w:sz w:val="32"/>
                <w:szCs w:val="32"/>
                <w:lang w:val="en-US"/>
              </w:rPr>
              <w:t>jiangchao2021@cueb.edu.cn</w:t>
            </w:r>
          </w:p>
        </w:tc>
      </w:tr>
    </w:tbl>
    <w:p w14:paraId="386BB01B">
      <w:pPr>
        <w:rPr>
          <w:rFonts w:ascii="仿宋_GB2312" w:eastAsia="仿宋_GB2312"/>
          <w:sz w:val="32"/>
          <w:szCs w:val="32"/>
        </w:rPr>
      </w:pPr>
    </w:p>
    <w:sectPr>
      <w:footerReference r:id="rId3" w:type="default"/>
      <w:pgSz w:w="11906" w:h="16838"/>
      <w:pgMar w:top="879" w:right="1247" w:bottom="765" w:left="1247" w:header="340" w:footer="34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3F13703-1630-4443-8BDE-F46250D1AA2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0000600000000000000"/>
    <w:charset w:val="86"/>
    <w:family w:val="auto"/>
    <w:pitch w:val="default"/>
    <w:sig w:usb0="800002BF" w:usb1="184F6CF8" w:usb2="00000012" w:usb3="00000000" w:csb0="00160001" w:csb1="12030000"/>
    <w:embedRegular r:id="rId2" w:fontKey="{607C8F75-72E0-4C91-8B50-DD5E9CB43E08}"/>
  </w:font>
  <w:font w:name="仿宋_GB2312">
    <w:panose1 w:val="02010609030101010101"/>
    <w:charset w:val="86"/>
    <w:family w:val="modern"/>
    <w:pitch w:val="default"/>
    <w:sig w:usb0="00000001" w:usb1="080E0000" w:usb2="00000000" w:usb3="00000000" w:csb0="00040000" w:csb1="00000000"/>
    <w:embedRegular r:id="rId3" w:fontKey="{7BAFF1CB-00FB-47DA-891B-087B1D338E7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75651566"/>
    </w:sdtPr>
    <w:sdtContent>
      <w:p w14:paraId="06218943">
        <w:pPr>
          <w:pStyle w:val="2"/>
          <w:jc w:val="center"/>
        </w:pPr>
        <w:r>
          <w:fldChar w:fldCharType="begin"/>
        </w:r>
        <w:r>
          <w:instrText xml:space="preserve">PAGE   \* MERGEFORMAT</w:instrText>
        </w:r>
        <w:r>
          <w:fldChar w:fldCharType="separate"/>
        </w:r>
        <w:r>
          <w:rPr>
            <w:lang w:val="zh-CN"/>
          </w:rPr>
          <w:t>4</w:t>
        </w:r>
        <w:r>
          <w:fldChar w:fldCharType="end"/>
        </w:r>
      </w:p>
    </w:sdtContent>
  </w:sdt>
  <w:p w14:paraId="4F9B8B48">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9F4752F"/>
    <w:multiLevelType w:val="multilevel"/>
    <w:tmpl w:val="39F4752F"/>
    <w:lvl w:ilvl="0" w:tentative="0">
      <w:start w:val="1"/>
      <w:numFmt w:val="decimal"/>
      <w:lvlText w:val="%1."/>
      <w:lvlJc w:val="left"/>
      <w:pPr>
        <w:ind w:left="775" w:hanging="480"/>
      </w:pPr>
      <w:rPr>
        <w:rFonts w:hint="default"/>
        <w:b/>
      </w:rPr>
    </w:lvl>
    <w:lvl w:ilvl="1" w:tentative="0">
      <w:start w:val="1"/>
      <w:numFmt w:val="lowerLetter"/>
      <w:lvlText w:val="%2."/>
      <w:lvlJc w:val="left"/>
      <w:pPr>
        <w:ind w:left="1375" w:hanging="360"/>
      </w:pPr>
    </w:lvl>
    <w:lvl w:ilvl="2" w:tentative="0">
      <w:start w:val="1"/>
      <w:numFmt w:val="lowerRoman"/>
      <w:lvlText w:val="%3."/>
      <w:lvlJc w:val="right"/>
      <w:pPr>
        <w:ind w:left="2095" w:hanging="180"/>
      </w:pPr>
    </w:lvl>
    <w:lvl w:ilvl="3" w:tentative="0">
      <w:start w:val="1"/>
      <w:numFmt w:val="decimal"/>
      <w:lvlText w:val="%4."/>
      <w:lvlJc w:val="left"/>
      <w:pPr>
        <w:ind w:left="2815" w:hanging="360"/>
      </w:pPr>
    </w:lvl>
    <w:lvl w:ilvl="4" w:tentative="0">
      <w:start w:val="1"/>
      <w:numFmt w:val="lowerLetter"/>
      <w:lvlText w:val="%5."/>
      <w:lvlJc w:val="left"/>
      <w:pPr>
        <w:ind w:left="3535" w:hanging="360"/>
      </w:pPr>
    </w:lvl>
    <w:lvl w:ilvl="5" w:tentative="0">
      <w:start w:val="1"/>
      <w:numFmt w:val="lowerRoman"/>
      <w:lvlText w:val="%6."/>
      <w:lvlJc w:val="right"/>
      <w:pPr>
        <w:ind w:left="4255" w:hanging="180"/>
      </w:pPr>
    </w:lvl>
    <w:lvl w:ilvl="6" w:tentative="0">
      <w:start w:val="1"/>
      <w:numFmt w:val="decimal"/>
      <w:lvlText w:val="%7."/>
      <w:lvlJc w:val="left"/>
      <w:pPr>
        <w:ind w:left="4975" w:hanging="360"/>
      </w:pPr>
    </w:lvl>
    <w:lvl w:ilvl="7" w:tentative="0">
      <w:start w:val="1"/>
      <w:numFmt w:val="lowerLetter"/>
      <w:lvlText w:val="%8."/>
      <w:lvlJc w:val="left"/>
      <w:pPr>
        <w:ind w:left="5695" w:hanging="360"/>
      </w:pPr>
    </w:lvl>
    <w:lvl w:ilvl="8" w:tentative="0">
      <w:start w:val="1"/>
      <w:numFmt w:val="lowerRoman"/>
      <w:lvlText w:val="%9."/>
      <w:lvlJc w:val="right"/>
      <w:pPr>
        <w:ind w:left="641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JkZTM5OTU0MmM2OTY1OWU4NzEyZWIyODMyNTc1ZTUifQ=="/>
  </w:docVars>
  <w:rsids>
    <w:rsidRoot w:val="008769EE"/>
    <w:rsid w:val="000024AF"/>
    <w:rsid w:val="00005D1C"/>
    <w:rsid w:val="00016504"/>
    <w:rsid w:val="00021C1D"/>
    <w:rsid w:val="00026782"/>
    <w:rsid w:val="000420F1"/>
    <w:rsid w:val="00057714"/>
    <w:rsid w:val="000579E3"/>
    <w:rsid w:val="000626B0"/>
    <w:rsid w:val="00074C82"/>
    <w:rsid w:val="00075C5A"/>
    <w:rsid w:val="000A6775"/>
    <w:rsid w:val="000B59FE"/>
    <w:rsid w:val="000D5792"/>
    <w:rsid w:val="000D57EF"/>
    <w:rsid w:val="000D5CE7"/>
    <w:rsid w:val="000E3D0A"/>
    <w:rsid w:val="000F6E26"/>
    <w:rsid w:val="0010322A"/>
    <w:rsid w:val="0011069F"/>
    <w:rsid w:val="00115043"/>
    <w:rsid w:val="00120156"/>
    <w:rsid w:val="001360CE"/>
    <w:rsid w:val="001367A9"/>
    <w:rsid w:val="00142352"/>
    <w:rsid w:val="00143054"/>
    <w:rsid w:val="001579F2"/>
    <w:rsid w:val="00164C26"/>
    <w:rsid w:val="0016564C"/>
    <w:rsid w:val="00172BF5"/>
    <w:rsid w:val="00175648"/>
    <w:rsid w:val="001832F6"/>
    <w:rsid w:val="0019215B"/>
    <w:rsid w:val="001A0246"/>
    <w:rsid w:val="001A6D11"/>
    <w:rsid w:val="001B0D74"/>
    <w:rsid w:val="001B2C6C"/>
    <w:rsid w:val="001C0DFA"/>
    <w:rsid w:val="001D0729"/>
    <w:rsid w:val="001D4806"/>
    <w:rsid w:val="001D79DE"/>
    <w:rsid w:val="001E741B"/>
    <w:rsid w:val="001E760D"/>
    <w:rsid w:val="001E77C2"/>
    <w:rsid w:val="001F5AC3"/>
    <w:rsid w:val="001F6CC8"/>
    <w:rsid w:val="0020086A"/>
    <w:rsid w:val="00203E00"/>
    <w:rsid w:val="00214591"/>
    <w:rsid w:val="002148A0"/>
    <w:rsid w:val="00217A97"/>
    <w:rsid w:val="0022027A"/>
    <w:rsid w:val="00236E3E"/>
    <w:rsid w:val="00242DE2"/>
    <w:rsid w:val="0026569C"/>
    <w:rsid w:val="00277A57"/>
    <w:rsid w:val="00281AE9"/>
    <w:rsid w:val="00283877"/>
    <w:rsid w:val="002923C5"/>
    <w:rsid w:val="002938E3"/>
    <w:rsid w:val="002A33B6"/>
    <w:rsid w:val="002A53FC"/>
    <w:rsid w:val="002A670E"/>
    <w:rsid w:val="002B0D40"/>
    <w:rsid w:val="002B7C2B"/>
    <w:rsid w:val="002D1753"/>
    <w:rsid w:val="002D6FA5"/>
    <w:rsid w:val="002E7BFD"/>
    <w:rsid w:val="002F7D9C"/>
    <w:rsid w:val="0033155C"/>
    <w:rsid w:val="00340069"/>
    <w:rsid w:val="00341051"/>
    <w:rsid w:val="00343B96"/>
    <w:rsid w:val="00346D6C"/>
    <w:rsid w:val="00354FAF"/>
    <w:rsid w:val="00363E2D"/>
    <w:rsid w:val="003701CF"/>
    <w:rsid w:val="00371816"/>
    <w:rsid w:val="003845ED"/>
    <w:rsid w:val="00392185"/>
    <w:rsid w:val="0039481F"/>
    <w:rsid w:val="003A2D89"/>
    <w:rsid w:val="003B6C68"/>
    <w:rsid w:val="003E007F"/>
    <w:rsid w:val="003E45A5"/>
    <w:rsid w:val="00447CA4"/>
    <w:rsid w:val="0045409C"/>
    <w:rsid w:val="00455A1D"/>
    <w:rsid w:val="00463782"/>
    <w:rsid w:val="00476A7D"/>
    <w:rsid w:val="004876C3"/>
    <w:rsid w:val="00494F44"/>
    <w:rsid w:val="00496636"/>
    <w:rsid w:val="00496D3E"/>
    <w:rsid w:val="004A0A91"/>
    <w:rsid w:val="004A4E02"/>
    <w:rsid w:val="004B00B4"/>
    <w:rsid w:val="004B01E5"/>
    <w:rsid w:val="004C67A2"/>
    <w:rsid w:val="004D0FC5"/>
    <w:rsid w:val="004D7510"/>
    <w:rsid w:val="004E551C"/>
    <w:rsid w:val="004F3DC9"/>
    <w:rsid w:val="005116D8"/>
    <w:rsid w:val="00521EB2"/>
    <w:rsid w:val="005269C8"/>
    <w:rsid w:val="00532B4E"/>
    <w:rsid w:val="005333BA"/>
    <w:rsid w:val="0053363C"/>
    <w:rsid w:val="00535AA8"/>
    <w:rsid w:val="00550A20"/>
    <w:rsid w:val="00564C63"/>
    <w:rsid w:val="00564E32"/>
    <w:rsid w:val="00574E86"/>
    <w:rsid w:val="005753FB"/>
    <w:rsid w:val="00577641"/>
    <w:rsid w:val="0058038C"/>
    <w:rsid w:val="00580524"/>
    <w:rsid w:val="00585CAC"/>
    <w:rsid w:val="005944CA"/>
    <w:rsid w:val="005A1DB0"/>
    <w:rsid w:val="005B4E27"/>
    <w:rsid w:val="005C1A80"/>
    <w:rsid w:val="005C1AAC"/>
    <w:rsid w:val="005C6ACD"/>
    <w:rsid w:val="005D33E1"/>
    <w:rsid w:val="005D5D40"/>
    <w:rsid w:val="00603AF5"/>
    <w:rsid w:val="00605F0A"/>
    <w:rsid w:val="00606DA8"/>
    <w:rsid w:val="0061252D"/>
    <w:rsid w:val="00613169"/>
    <w:rsid w:val="00613AAA"/>
    <w:rsid w:val="006226BA"/>
    <w:rsid w:val="00624B5C"/>
    <w:rsid w:val="00633F6B"/>
    <w:rsid w:val="00636F96"/>
    <w:rsid w:val="00646247"/>
    <w:rsid w:val="0066226D"/>
    <w:rsid w:val="00662D41"/>
    <w:rsid w:val="00663468"/>
    <w:rsid w:val="00666683"/>
    <w:rsid w:val="0068296E"/>
    <w:rsid w:val="00693B33"/>
    <w:rsid w:val="00696378"/>
    <w:rsid w:val="006A3A6E"/>
    <w:rsid w:val="006A51DF"/>
    <w:rsid w:val="006C3959"/>
    <w:rsid w:val="006C732F"/>
    <w:rsid w:val="006D294F"/>
    <w:rsid w:val="006D3808"/>
    <w:rsid w:val="006D5E75"/>
    <w:rsid w:val="006E6DDA"/>
    <w:rsid w:val="006F10F0"/>
    <w:rsid w:val="00704B08"/>
    <w:rsid w:val="007168CF"/>
    <w:rsid w:val="0071718F"/>
    <w:rsid w:val="007216F0"/>
    <w:rsid w:val="00724EAF"/>
    <w:rsid w:val="0073249A"/>
    <w:rsid w:val="00746651"/>
    <w:rsid w:val="0074676F"/>
    <w:rsid w:val="0075096A"/>
    <w:rsid w:val="00751811"/>
    <w:rsid w:val="00753ECA"/>
    <w:rsid w:val="007711FB"/>
    <w:rsid w:val="00777C79"/>
    <w:rsid w:val="00792BCA"/>
    <w:rsid w:val="007934F8"/>
    <w:rsid w:val="00801614"/>
    <w:rsid w:val="00805D49"/>
    <w:rsid w:val="00807722"/>
    <w:rsid w:val="0081690B"/>
    <w:rsid w:val="00816F55"/>
    <w:rsid w:val="00825DE6"/>
    <w:rsid w:val="00825FD8"/>
    <w:rsid w:val="008313DD"/>
    <w:rsid w:val="008321B0"/>
    <w:rsid w:val="00834F3C"/>
    <w:rsid w:val="008376EB"/>
    <w:rsid w:val="00846294"/>
    <w:rsid w:val="0085042E"/>
    <w:rsid w:val="00851D22"/>
    <w:rsid w:val="0086052B"/>
    <w:rsid w:val="00860FD3"/>
    <w:rsid w:val="008669B5"/>
    <w:rsid w:val="00867EEA"/>
    <w:rsid w:val="00872C0C"/>
    <w:rsid w:val="008738D4"/>
    <w:rsid w:val="008769EE"/>
    <w:rsid w:val="0088143A"/>
    <w:rsid w:val="008836AC"/>
    <w:rsid w:val="00887D7E"/>
    <w:rsid w:val="0089086B"/>
    <w:rsid w:val="008A16EE"/>
    <w:rsid w:val="008B1395"/>
    <w:rsid w:val="008B748E"/>
    <w:rsid w:val="008C4B94"/>
    <w:rsid w:val="008D1E8D"/>
    <w:rsid w:val="008E3EE3"/>
    <w:rsid w:val="008F2FB1"/>
    <w:rsid w:val="00912ADC"/>
    <w:rsid w:val="00917F07"/>
    <w:rsid w:val="00923192"/>
    <w:rsid w:val="00925CD8"/>
    <w:rsid w:val="00931DCA"/>
    <w:rsid w:val="00932E54"/>
    <w:rsid w:val="0093518D"/>
    <w:rsid w:val="00937CB6"/>
    <w:rsid w:val="00953BA4"/>
    <w:rsid w:val="00954857"/>
    <w:rsid w:val="009632E8"/>
    <w:rsid w:val="00966187"/>
    <w:rsid w:val="009722F8"/>
    <w:rsid w:val="00984CEA"/>
    <w:rsid w:val="00987542"/>
    <w:rsid w:val="00995541"/>
    <w:rsid w:val="00995CDE"/>
    <w:rsid w:val="009E26CF"/>
    <w:rsid w:val="009E7C56"/>
    <w:rsid w:val="00A02213"/>
    <w:rsid w:val="00A0235C"/>
    <w:rsid w:val="00A21117"/>
    <w:rsid w:val="00A22759"/>
    <w:rsid w:val="00A2670B"/>
    <w:rsid w:val="00A30D68"/>
    <w:rsid w:val="00A4232F"/>
    <w:rsid w:val="00A43480"/>
    <w:rsid w:val="00A46FCF"/>
    <w:rsid w:val="00A601D5"/>
    <w:rsid w:val="00A75F29"/>
    <w:rsid w:val="00A80B12"/>
    <w:rsid w:val="00AA3BF4"/>
    <w:rsid w:val="00AA45FC"/>
    <w:rsid w:val="00AA7BD8"/>
    <w:rsid w:val="00AB1BF4"/>
    <w:rsid w:val="00AB47FD"/>
    <w:rsid w:val="00AC7734"/>
    <w:rsid w:val="00AD24CF"/>
    <w:rsid w:val="00AD6CFA"/>
    <w:rsid w:val="00AE66B7"/>
    <w:rsid w:val="00B35499"/>
    <w:rsid w:val="00B37F1A"/>
    <w:rsid w:val="00B40CAF"/>
    <w:rsid w:val="00B46BCA"/>
    <w:rsid w:val="00B52CCC"/>
    <w:rsid w:val="00B54E53"/>
    <w:rsid w:val="00B66E73"/>
    <w:rsid w:val="00B67EB8"/>
    <w:rsid w:val="00B7486E"/>
    <w:rsid w:val="00B75DE6"/>
    <w:rsid w:val="00B96E4E"/>
    <w:rsid w:val="00BA70BA"/>
    <w:rsid w:val="00BA7BD6"/>
    <w:rsid w:val="00BA7D67"/>
    <w:rsid w:val="00BB17D0"/>
    <w:rsid w:val="00BB1901"/>
    <w:rsid w:val="00BC3E1F"/>
    <w:rsid w:val="00BD0A75"/>
    <w:rsid w:val="00BE634B"/>
    <w:rsid w:val="00BF4E2D"/>
    <w:rsid w:val="00C04691"/>
    <w:rsid w:val="00C217F1"/>
    <w:rsid w:val="00C24C93"/>
    <w:rsid w:val="00C27F6F"/>
    <w:rsid w:val="00C57018"/>
    <w:rsid w:val="00C60328"/>
    <w:rsid w:val="00C66D16"/>
    <w:rsid w:val="00C678B8"/>
    <w:rsid w:val="00C720F3"/>
    <w:rsid w:val="00C82B11"/>
    <w:rsid w:val="00C865C8"/>
    <w:rsid w:val="00C94172"/>
    <w:rsid w:val="00C97BA0"/>
    <w:rsid w:val="00CA19F5"/>
    <w:rsid w:val="00CB5FAC"/>
    <w:rsid w:val="00CB6FC8"/>
    <w:rsid w:val="00CB756D"/>
    <w:rsid w:val="00CC608E"/>
    <w:rsid w:val="00CD0972"/>
    <w:rsid w:val="00CD6DA4"/>
    <w:rsid w:val="00CD6EE9"/>
    <w:rsid w:val="00D012AF"/>
    <w:rsid w:val="00D05DE3"/>
    <w:rsid w:val="00D150D6"/>
    <w:rsid w:val="00D23696"/>
    <w:rsid w:val="00D34863"/>
    <w:rsid w:val="00D41F2A"/>
    <w:rsid w:val="00D43DB6"/>
    <w:rsid w:val="00D474E2"/>
    <w:rsid w:val="00D47E2B"/>
    <w:rsid w:val="00D531BB"/>
    <w:rsid w:val="00D55D40"/>
    <w:rsid w:val="00D71164"/>
    <w:rsid w:val="00D8092B"/>
    <w:rsid w:val="00D826F5"/>
    <w:rsid w:val="00D920B0"/>
    <w:rsid w:val="00DB02D9"/>
    <w:rsid w:val="00DB05D8"/>
    <w:rsid w:val="00DB59F1"/>
    <w:rsid w:val="00DD4992"/>
    <w:rsid w:val="00DD5BE0"/>
    <w:rsid w:val="00DE5602"/>
    <w:rsid w:val="00DF09AA"/>
    <w:rsid w:val="00DF64DF"/>
    <w:rsid w:val="00DF78E0"/>
    <w:rsid w:val="00E01DD4"/>
    <w:rsid w:val="00E02303"/>
    <w:rsid w:val="00E1302F"/>
    <w:rsid w:val="00E13134"/>
    <w:rsid w:val="00E14BF8"/>
    <w:rsid w:val="00E30024"/>
    <w:rsid w:val="00E42E8E"/>
    <w:rsid w:val="00E46C70"/>
    <w:rsid w:val="00E47733"/>
    <w:rsid w:val="00E5011B"/>
    <w:rsid w:val="00E524CD"/>
    <w:rsid w:val="00E65F9E"/>
    <w:rsid w:val="00E65FC6"/>
    <w:rsid w:val="00E7048E"/>
    <w:rsid w:val="00E72C07"/>
    <w:rsid w:val="00E92B2A"/>
    <w:rsid w:val="00EA0B44"/>
    <w:rsid w:val="00EB1E9B"/>
    <w:rsid w:val="00EB2BDB"/>
    <w:rsid w:val="00EB4B20"/>
    <w:rsid w:val="00EB66C3"/>
    <w:rsid w:val="00EC44BC"/>
    <w:rsid w:val="00EC5478"/>
    <w:rsid w:val="00EC7440"/>
    <w:rsid w:val="00ED65A9"/>
    <w:rsid w:val="00ED683E"/>
    <w:rsid w:val="00EF3C50"/>
    <w:rsid w:val="00EF5210"/>
    <w:rsid w:val="00F10C18"/>
    <w:rsid w:val="00F256C4"/>
    <w:rsid w:val="00F26931"/>
    <w:rsid w:val="00F35477"/>
    <w:rsid w:val="00F5176B"/>
    <w:rsid w:val="00F57CAE"/>
    <w:rsid w:val="00F669A4"/>
    <w:rsid w:val="00F713C4"/>
    <w:rsid w:val="00F73E78"/>
    <w:rsid w:val="00F74A1C"/>
    <w:rsid w:val="00F75202"/>
    <w:rsid w:val="00F855BA"/>
    <w:rsid w:val="00F86CD9"/>
    <w:rsid w:val="00F910DA"/>
    <w:rsid w:val="00FB4A99"/>
    <w:rsid w:val="00FC2914"/>
    <w:rsid w:val="00FF5C3F"/>
    <w:rsid w:val="011D4668"/>
    <w:rsid w:val="03803D68"/>
    <w:rsid w:val="040E5D41"/>
    <w:rsid w:val="04816A57"/>
    <w:rsid w:val="051528EC"/>
    <w:rsid w:val="05C978FD"/>
    <w:rsid w:val="0671705A"/>
    <w:rsid w:val="06732134"/>
    <w:rsid w:val="06B96375"/>
    <w:rsid w:val="07463F1D"/>
    <w:rsid w:val="078F2493"/>
    <w:rsid w:val="0A8F7AAE"/>
    <w:rsid w:val="0B4A5469"/>
    <w:rsid w:val="0B6B3F04"/>
    <w:rsid w:val="0B6F69F0"/>
    <w:rsid w:val="0C645CC6"/>
    <w:rsid w:val="0C955B7E"/>
    <w:rsid w:val="0DCF4D92"/>
    <w:rsid w:val="0F78357E"/>
    <w:rsid w:val="107F47F9"/>
    <w:rsid w:val="10DB3A4D"/>
    <w:rsid w:val="12E36BE9"/>
    <w:rsid w:val="13CA2B4E"/>
    <w:rsid w:val="15D942D4"/>
    <w:rsid w:val="189A4AC9"/>
    <w:rsid w:val="195A59BF"/>
    <w:rsid w:val="1A1667EC"/>
    <w:rsid w:val="1A9F551B"/>
    <w:rsid w:val="1AD27C6F"/>
    <w:rsid w:val="1C307CA7"/>
    <w:rsid w:val="1D09144A"/>
    <w:rsid w:val="1D431C97"/>
    <w:rsid w:val="1E504BF2"/>
    <w:rsid w:val="1F4F4772"/>
    <w:rsid w:val="1F762BAF"/>
    <w:rsid w:val="20375FAB"/>
    <w:rsid w:val="20672782"/>
    <w:rsid w:val="219E3794"/>
    <w:rsid w:val="22463DDE"/>
    <w:rsid w:val="23991047"/>
    <w:rsid w:val="23B107E7"/>
    <w:rsid w:val="23B940CE"/>
    <w:rsid w:val="242F1397"/>
    <w:rsid w:val="2604714B"/>
    <w:rsid w:val="26680B0E"/>
    <w:rsid w:val="276607BD"/>
    <w:rsid w:val="2A85768A"/>
    <w:rsid w:val="2BC2788C"/>
    <w:rsid w:val="2D5072C9"/>
    <w:rsid w:val="2ED43E1F"/>
    <w:rsid w:val="2EF61F5F"/>
    <w:rsid w:val="2F204D2F"/>
    <w:rsid w:val="30280776"/>
    <w:rsid w:val="30D8752B"/>
    <w:rsid w:val="33020A40"/>
    <w:rsid w:val="347270AC"/>
    <w:rsid w:val="359C73A0"/>
    <w:rsid w:val="36160F00"/>
    <w:rsid w:val="397B56DC"/>
    <w:rsid w:val="3A5A5133"/>
    <w:rsid w:val="3BC02155"/>
    <w:rsid w:val="3BF7E6BF"/>
    <w:rsid w:val="3C4538F8"/>
    <w:rsid w:val="3CD975B2"/>
    <w:rsid w:val="3D7D1865"/>
    <w:rsid w:val="3ED27DBD"/>
    <w:rsid w:val="3FCF72B9"/>
    <w:rsid w:val="40504E9C"/>
    <w:rsid w:val="4185378C"/>
    <w:rsid w:val="436879E0"/>
    <w:rsid w:val="45A06791"/>
    <w:rsid w:val="47791038"/>
    <w:rsid w:val="49ED0155"/>
    <w:rsid w:val="4B4C74C3"/>
    <w:rsid w:val="4B9A1970"/>
    <w:rsid w:val="4B9A22C6"/>
    <w:rsid w:val="4D47054C"/>
    <w:rsid w:val="4E175B2C"/>
    <w:rsid w:val="4FDF2564"/>
    <w:rsid w:val="50571C9F"/>
    <w:rsid w:val="50AB003F"/>
    <w:rsid w:val="519F04A1"/>
    <w:rsid w:val="52353A0A"/>
    <w:rsid w:val="560E14B9"/>
    <w:rsid w:val="597D2244"/>
    <w:rsid w:val="5A0D30B4"/>
    <w:rsid w:val="5B3429A4"/>
    <w:rsid w:val="5C146507"/>
    <w:rsid w:val="5C9D087A"/>
    <w:rsid w:val="5D35760E"/>
    <w:rsid w:val="5D5840D6"/>
    <w:rsid w:val="5F200A95"/>
    <w:rsid w:val="619135C2"/>
    <w:rsid w:val="62D04AAA"/>
    <w:rsid w:val="64126E1E"/>
    <w:rsid w:val="64C611F6"/>
    <w:rsid w:val="65F77B57"/>
    <w:rsid w:val="65FF3AA9"/>
    <w:rsid w:val="660F3D1F"/>
    <w:rsid w:val="66152ACA"/>
    <w:rsid w:val="68B44D24"/>
    <w:rsid w:val="6A28076F"/>
    <w:rsid w:val="6BDF6CC4"/>
    <w:rsid w:val="6CFC2C49"/>
    <w:rsid w:val="6DB5058A"/>
    <w:rsid w:val="70905002"/>
    <w:rsid w:val="70BB7C71"/>
    <w:rsid w:val="71B400B8"/>
    <w:rsid w:val="72EF1566"/>
    <w:rsid w:val="73412F53"/>
    <w:rsid w:val="747947EB"/>
    <w:rsid w:val="748443E4"/>
    <w:rsid w:val="74F952E5"/>
    <w:rsid w:val="75483F2B"/>
    <w:rsid w:val="75A628C9"/>
    <w:rsid w:val="75B36462"/>
    <w:rsid w:val="76B27622"/>
    <w:rsid w:val="780A371A"/>
    <w:rsid w:val="784521A0"/>
    <w:rsid w:val="788D1579"/>
    <w:rsid w:val="7A6F2A3A"/>
    <w:rsid w:val="7BBB15F0"/>
    <w:rsid w:val="7C07A0F5"/>
    <w:rsid w:val="7D460711"/>
    <w:rsid w:val="7D717185"/>
    <w:rsid w:val="7D7635FF"/>
    <w:rsid w:val="7E172803"/>
    <w:rsid w:val="7F207CC7"/>
    <w:rsid w:val="7F52447F"/>
    <w:rsid w:val="ADB3EDF9"/>
    <w:rsid w:val="B59DAF38"/>
    <w:rsid w:val="BFBAAF01"/>
    <w:rsid w:val="D6FDEFC2"/>
    <w:rsid w:val="DFDE7D33"/>
    <w:rsid w:val="FD7EF2D2"/>
    <w:rsid w:val="FDF5A7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GB"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2"/>
    <w:unhideWhenUsed/>
    <w:qFormat/>
    <w:uiPriority w:val="99"/>
    <w:pPr>
      <w:widowControl w:val="0"/>
      <w:tabs>
        <w:tab w:val="center" w:pos="4153"/>
        <w:tab w:val="right" w:pos="8306"/>
      </w:tabs>
      <w:snapToGrid w:val="0"/>
    </w:pPr>
    <w:rPr>
      <w:rFonts w:asciiTheme="minorHAnsi" w:hAnsiTheme="minorHAnsi" w:eastAsiaTheme="minorEastAsia" w:cstheme="minorBidi"/>
      <w:kern w:val="2"/>
      <w:sz w:val="18"/>
      <w:szCs w:val="18"/>
      <w:lang w:val="en-US"/>
    </w:rPr>
  </w:style>
  <w:style w:type="paragraph" w:styleId="3">
    <w:name w:val="header"/>
    <w:basedOn w:val="1"/>
    <w:link w:val="11"/>
    <w:unhideWhenUsed/>
    <w:qFormat/>
    <w:uiPriority w:val="99"/>
    <w:pPr>
      <w:widowControl w:val="0"/>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lang w:val="en-US"/>
    </w:rPr>
  </w:style>
  <w:style w:type="paragraph" w:styleId="4">
    <w:name w:val="Normal (Web)"/>
    <w:basedOn w:val="1"/>
    <w:unhideWhenUsed/>
    <w:qFormat/>
    <w:uiPriority w:val="99"/>
    <w:pPr>
      <w:spacing w:before="100" w:beforeAutospacing="1" w:after="100" w:afterAutospacing="1"/>
    </w:pPr>
    <w:rPr>
      <w:rFonts w:ascii="宋体" w:hAnsi="宋体" w:eastAsia="宋体" w:cs="宋体"/>
    </w:rPr>
  </w:style>
  <w:style w:type="character" w:styleId="7">
    <w:name w:val="Strong"/>
    <w:qFormat/>
    <w:uiPriority w:val="0"/>
    <w:rPr>
      <w:b/>
      <w:bCs/>
    </w:rPr>
  </w:style>
  <w:style w:type="character" w:styleId="8">
    <w:name w:val="FollowedHyperlink"/>
    <w:basedOn w:val="6"/>
    <w:semiHidden/>
    <w:unhideWhenUsed/>
    <w:qFormat/>
    <w:uiPriority w:val="99"/>
    <w:rPr>
      <w:color w:val="954F72" w:themeColor="followedHyperlink"/>
      <w:u w:val="single"/>
      <w14:textFill>
        <w14:solidFill>
          <w14:schemeClr w14:val="folHlink"/>
        </w14:solidFill>
      </w14:textFill>
    </w:rPr>
  </w:style>
  <w:style w:type="character" w:styleId="9">
    <w:name w:val="Emphasis"/>
    <w:basedOn w:val="6"/>
    <w:qFormat/>
    <w:uiPriority w:val="20"/>
    <w:rPr>
      <w:i/>
      <w:iCs/>
    </w:rPr>
  </w:style>
  <w:style w:type="character" w:styleId="10">
    <w:name w:val="Hyperlink"/>
    <w:basedOn w:val="6"/>
    <w:unhideWhenUsed/>
    <w:qFormat/>
    <w:uiPriority w:val="99"/>
    <w:rPr>
      <w:color w:val="0563C1" w:themeColor="hyperlink"/>
      <w:u w:val="single"/>
      <w14:textFill>
        <w14:solidFill>
          <w14:schemeClr w14:val="hlink"/>
        </w14:solidFill>
      </w14:textFill>
    </w:rPr>
  </w:style>
  <w:style w:type="character" w:customStyle="1" w:styleId="11">
    <w:name w:val="页眉 字符"/>
    <w:basedOn w:val="6"/>
    <w:link w:val="3"/>
    <w:qFormat/>
    <w:uiPriority w:val="99"/>
    <w:rPr>
      <w:sz w:val="18"/>
      <w:szCs w:val="18"/>
    </w:rPr>
  </w:style>
  <w:style w:type="character" w:customStyle="1" w:styleId="12">
    <w:name w:val="页脚 字符"/>
    <w:basedOn w:val="6"/>
    <w:link w:val="2"/>
    <w:qFormat/>
    <w:uiPriority w:val="99"/>
    <w:rPr>
      <w:sz w:val="18"/>
      <w:szCs w:val="18"/>
    </w:rPr>
  </w:style>
  <w:style w:type="character" w:customStyle="1" w:styleId="13">
    <w:name w:val="未处理的提及1"/>
    <w:basedOn w:val="6"/>
    <w:semiHidden/>
    <w:unhideWhenUsed/>
    <w:qFormat/>
    <w:uiPriority w:val="99"/>
    <w:rPr>
      <w:color w:val="605E5C"/>
      <w:shd w:val="clear" w:color="auto" w:fill="E1DFDD"/>
    </w:rPr>
  </w:style>
  <w:style w:type="paragraph" w:styleId="14">
    <w:name w:val="List Paragraph"/>
    <w:basedOn w:val="1"/>
    <w:qFormat/>
    <w:uiPriority w:val="34"/>
    <w:pPr>
      <w:ind w:firstLine="420" w:firstLineChars="200"/>
    </w:pPr>
  </w:style>
  <w:style w:type="character" w:customStyle="1" w:styleId="15">
    <w:name w:val="未处理的提及2"/>
    <w:basedOn w:val="6"/>
    <w:semiHidden/>
    <w:unhideWhenUsed/>
    <w:qFormat/>
    <w:uiPriority w:val="99"/>
    <w:rPr>
      <w:color w:val="605E5C"/>
      <w:shd w:val="clear" w:color="auto" w:fill="E1DFDD"/>
    </w:rPr>
  </w:style>
  <w:style w:type="character" w:customStyle="1" w:styleId="16">
    <w:name w:val="未处理的提及3"/>
    <w:basedOn w:val="6"/>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1670</Words>
  <Characters>1735</Characters>
  <Lines>1</Lines>
  <Paragraphs>3</Paragraphs>
  <TotalTime>99</TotalTime>
  <ScaleCrop>false</ScaleCrop>
  <LinksUpToDate>false</LinksUpToDate>
  <CharactersWithSpaces>1749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2022-12-31T13:38:00Z</dcterms:created>
  <dc:creator>张 斌</dc:creator>
  <cp:lastModifiedBy>郭嘉丽</cp:lastModifiedBy>
  <cp:lastPrinted>2023-01-11T03:09:00Z</cp:lastPrinted>
  <dcterms:modified xsi:type="dcterms:W3CDTF">2026-05-15T11:21:42Z</dcterms:modified>
  <cp:revision>202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395748A3EB8C4BBB9A7B0BDBD685C7F0_13</vt:lpwstr>
  </property>
  <property fmtid="{D5CDD505-2E9C-101B-9397-08002B2CF9AE}" pid="4" name="KSOTemplateDocerSaveRecord">
    <vt:lpwstr>eyJoZGlkIjoiNjM2NTAxZWE1M2Q4OGNkODAxM2NmNjRlZWVlMDI4MDMiLCJ1c2VySWQiOiIxNzU4MTUyMjI0In0=</vt:lpwstr>
  </property>
  <property fmtid="{D5CDD505-2E9C-101B-9397-08002B2CF9AE}" pid="5" name="GrammarlyDocumentId">
    <vt:lpwstr>e5611493-60f9-4492-8db1-fd08cfac307c</vt:lpwstr>
  </property>
</Properties>
</file>